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6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61" w:type="dxa"/>
          </w:tcPr>
          <w:p>
            <w:pPr>
              <w:pStyle w:val="51"/>
              <w:framePr w:w="0" w:hRule="auto" w:wrap="auto" w:vAnchor="margin" w:hAnchor="text" w:xAlign="left" w:yAlign="inline"/>
              <w:rPr>
                <w:rFonts w:ascii="宋体" w:hAnsi="宋体"/>
                <w:sz w:val="28"/>
                <w:szCs w:val="28"/>
              </w:rPr>
            </w:pPr>
            <w:bookmarkStart w:id="0" w:name="_Hlk26473981"/>
          </w:p>
        </w:tc>
      </w:tr>
    </w:tbl>
    <w:p>
      <w:pPr>
        <w:pStyle w:val="52"/>
        <w:framePr w:w="9639" w:h="624" w:hRule="exact" w:hSpace="181" w:vSpace="181" w:wrap="around" w:hAnchor="page" w:x="1305" w:y="2269"/>
        <w:rPr>
          <w:rFonts w:ascii="黑体" w:hAnsi="黑体" w:eastAsia="黑体"/>
          <w:b w:val="0"/>
          <w:bCs w:val="0"/>
          <w:w w:val="100"/>
          <w:sz w:val="48"/>
          <w:szCs w:val="48"/>
        </w:rPr>
      </w:pPr>
      <w:r>
        <w:rPr>
          <w:rFonts w:hint="eastAsia" w:ascii="黑体" w:eastAsia="黑体"/>
          <w:b w:val="0"/>
          <w:w w:val="100"/>
          <w:sz w:val="48"/>
        </w:rPr>
        <w:t>团体</w:t>
      </w:r>
      <w:r>
        <w:rPr>
          <w:rFonts w:hint="eastAsia" w:ascii="黑体" w:hAnsi="黑体" w:eastAsia="黑体"/>
          <w:b w:val="0"/>
          <w:bCs w:val="0"/>
          <w:w w:val="100"/>
          <w:sz w:val="48"/>
          <w:szCs w:val="48"/>
        </w:rPr>
        <w:t>标准</w:t>
      </w:r>
    </w:p>
    <w:bookmarkEnd w:id="0"/>
    <w:p>
      <w:pPr>
        <w:pStyle w:val="197"/>
      </w:pPr>
      <w:r>
        <w:rPr>
          <w:sz w:val="15"/>
          <w:szCs w:val="15"/>
        </w:rPr>
        <w:t xml:space="preserve"> </w:t>
      </w:r>
      <w:r>
        <w:fldChar w:fldCharType="begin">
          <w:ffData>
            <w:name w:val="文字1"/>
            <w:enabled/>
            <w:calcOnExit w:val="0"/>
            <w:textInput>
              <w:default w:val="XX"/>
            </w:textInput>
          </w:ffData>
        </w:fldChar>
      </w:r>
      <w:bookmarkStart w:id="1" w:name="文字1"/>
      <w:r>
        <w:instrText xml:space="preserve"> FORMTEXT </w:instrText>
      </w:r>
      <w:r>
        <w:fldChar w:fldCharType="separate"/>
      </w:r>
      <w:r>
        <w:t>T/CAPPMA</w:t>
      </w:r>
      <w:r>
        <w:fldChar w:fldCharType="end"/>
      </w:r>
      <w:bookmarkEnd w:id="1"/>
      <w:r>
        <w:t xml:space="preserve"> </w:t>
      </w:r>
      <w:r>
        <w:fldChar w:fldCharType="begin">
          <w:ffData>
            <w:name w:val="NSTD_CODE_F"/>
            <w:enabled/>
            <w:calcOnExit w:val="0"/>
            <w:textInput>
              <w:default w:val="XXXXX"/>
            </w:textInput>
          </w:ffData>
        </w:fldChar>
      </w:r>
      <w:bookmarkStart w:id="2" w:name="NSTD_CODE_F"/>
      <w:r>
        <w:instrText xml:space="preserve"> FORMTEXT </w:instrText>
      </w:r>
      <w:r>
        <w:fldChar w:fldCharType="separate"/>
      </w:r>
      <w:r>
        <w:t>XXXXX</w:t>
      </w:r>
      <w:r>
        <w:fldChar w:fldCharType="end"/>
      </w:r>
      <w:bookmarkEnd w:id="2"/>
      <w:r>
        <w:rPr>
          <w:rFonts w:hAnsi="黑体"/>
        </w:rPr>
        <w:t>—</w:t>
      </w:r>
      <w:r>
        <w:fldChar w:fldCharType="begin">
          <w:ffData>
            <w:name w:val="NSTD_CODE_B"/>
            <w:enabled/>
            <w:calcOnExit w:val="0"/>
            <w:textInput>
              <w:default w:val="XXXX"/>
            </w:textInput>
          </w:ffData>
        </w:fldChar>
      </w:r>
      <w:bookmarkStart w:id="3" w:name="NSTD_CODE_B"/>
      <w:r>
        <w:instrText xml:space="preserve"> FORMTEXT </w:instrText>
      </w:r>
      <w:r>
        <w:fldChar w:fldCharType="separate"/>
      </w:r>
      <w:r>
        <w:t>2022</w:t>
      </w:r>
      <w:r>
        <w:fldChar w:fldCharType="end"/>
      </w:r>
      <w:bookmarkEnd w:id="3"/>
    </w:p>
    <w:p>
      <w:pPr>
        <w:pStyle w:val="198"/>
        <w:rPr>
          <w:rFonts w:hAnsi="黑体"/>
        </w:rPr>
      </w:pPr>
      <w:r>
        <w:rPr>
          <w:rFonts w:hAnsi="黑体"/>
        </w:rPr>
        <w:fldChar w:fldCharType="begin">
          <w:ffData>
            <w:name w:val="OSTD_CODE"/>
            <w:enabled/>
            <w:calcOnExit w:val="0"/>
            <w:textInput/>
          </w:ffData>
        </w:fldChar>
      </w:r>
      <w:bookmarkStart w:id="4"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4"/>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2"/>
        <w:framePr w:w="9639" w:h="6976" w:hRule="exact" w:hSpace="0" w:vSpace="0" w:wrap="around" w:hAnchor="page" w:y="6408"/>
        <w:jc w:val="center"/>
        <w:rPr>
          <w:rFonts w:ascii="黑体" w:hAnsi="黑体" w:eastAsia="黑体"/>
          <w:b w:val="0"/>
          <w:bCs w:val="0"/>
          <w:w w:val="100"/>
        </w:rPr>
      </w:pPr>
    </w:p>
    <w:p>
      <w:pPr>
        <w:pStyle w:val="199"/>
        <w:framePr w:h="6974" w:hRule="exact" w:wrap="around" w:x="1419" w:anchorLock="1"/>
      </w:pPr>
      <w:bookmarkStart w:id="5" w:name="CSTD_NAME"/>
      <w:r>
        <w:fldChar w:fldCharType="begin">
          <w:ffData>
            <w:name w:val="CSTD_NAME"/>
            <w:enabled/>
            <w:calcOnExit w:val="0"/>
            <w:textInput>
              <w:default w:val="水产品预制菜"/>
            </w:textInput>
          </w:ffData>
        </w:fldChar>
      </w:r>
      <w:r>
        <w:instrText xml:space="preserve">FORMTEXT</w:instrText>
      </w:r>
      <w:r>
        <w:fldChar w:fldCharType="separate"/>
      </w:r>
      <w:r>
        <w:t>水产品预制菜</w:t>
      </w:r>
      <w:r>
        <w:fldChar w:fldCharType="end"/>
      </w:r>
      <w:bookmarkEnd w:id="5"/>
    </w:p>
    <w:p>
      <w:pPr>
        <w:framePr w:w="9639" w:h="6974" w:hRule="exact" w:wrap="around" w:vAnchor="page" w:hAnchor="page" w:x="1419" w:y="6408" w:anchorLock="1"/>
        <w:ind w:left="-1418"/>
      </w:pPr>
    </w:p>
    <w:p>
      <w:pPr>
        <w:pStyle w:val="127"/>
        <w:framePr w:w="9639" w:h="6974" w:hRule="exact" w:wrap="around" w:vAnchor="page" w:hAnchor="page" w:x="1419" w:y="6408" w:anchorLock="1"/>
        <w:textAlignment w:val="bottom"/>
        <w:rPr>
          <w:rFonts w:eastAsia="黑体"/>
          <w:szCs w:val="28"/>
        </w:rPr>
      </w:pPr>
      <w:bookmarkStart w:id="6" w:name="ESTD_NAME"/>
      <w:r>
        <w:rPr>
          <w:rFonts w:eastAsia="黑体"/>
          <w:szCs w:val="28"/>
        </w:rPr>
        <w:fldChar w:fldCharType="begin">
          <w:ffData>
            <w:name w:val="ESTD_NAME"/>
            <w:enabled/>
            <w:calcOnExit w:val="0"/>
            <w:textInput>
              <w:default w:val="Aquatic prepared dishes"/>
            </w:textInput>
          </w:ffData>
        </w:fldChar>
      </w:r>
      <w:r>
        <w:rPr>
          <w:rFonts w:eastAsia="黑体"/>
          <w:szCs w:val="28"/>
        </w:rPr>
        <w:instrText xml:space="preserve">FORMTEXT</w:instrText>
      </w:r>
      <w:r>
        <w:rPr>
          <w:rFonts w:eastAsia="黑体"/>
          <w:szCs w:val="28"/>
        </w:rPr>
        <w:fldChar w:fldCharType="separate"/>
      </w:r>
      <w:r>
        <w:rPr>
          <w:rFonts w:eastAsia="黑体"/>
          <w:szCs w:val="28"/>
        </w:rPr>
        <w:t>Aquatic prepared dishes</w:t>
      </w:r>
      <w:r>
        <w:rPr>
          <w:rFonts w:eastAsia="黑体"/>
          <w:szCs w:val="28"/>
        </w:rPr>
        <w:fldChar w:fldCharType="end"/>
      </w:r>
      <w:bookmarkEnd w:id="6"/>
    </w:p>
    <w:p>
      <w:pPr>
        <w:framePr w:w="9639" w:h="6974" w:hRule="exact" w:wrap="around" w:vAnchor="page" w:hAnchor="page" w:x="1419" w:y="6408" w:anchorLock="1"/>
        <w:spacing w:line="760" w:lineRule="exact"/>
        <w:ind w:left="-1418"/>
      </w:pPr>
    </w:p>
    <w:p>
      <w:pPr>
        <w:pStyle w:val="127"/>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7" w:name="IN_STD_CODE"/>
      <w:r>
        <w:rPr>
          <w:rFonts w:eastAsia="黑体"/>
          <w:szCs w:val="28"/>
        </w:rPr>
        <w:instrText xml:space="preserve"> FORMTEXT </w:instrText>
      </w:r>
      <w:r>
        <w:rPr>
          <w:rFonts w:eastAsia="黑体"/>
          <w:szCs w:val="28"/>
        </w:rPr>
        <w:fldChar w:fldCharType="separate"/>
      </w:r>
      <w:r>
        <w:rPr>
          <w:rFonts w:hint="eastAsia" w:eastAsia="黑体"/>
          <w:szCs w:val="28"/>
        </w:rPr>
        <w:t>(点击此处添加与国际标准一致性程度的标识)</w:t>
      </w:r>
      <w:r>
        <w:rPr>
          <w:rFonts w:eastAsia="黑体"/>
          <w:szCs w:val="28"/>
        </w:rPr>
        <w:fldChar w:fldCharType="end"/>
      </w:r>
      <w:bookmarkEnd w:id="7"/>
    </w:p>
    <w:p>
      <w:pPr>
        <w:pStyle w:val="12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8" w:name="下拉1"/>
      <w:r>
        <w:rPr>
          <w:sz w:val="24"/>
          <w:szCs w:val="28"/>
        </w:rPr>
        <w:instrText xml:space="preserve"> FORMDROPDOWN </w:instrText>
      </w:r>
      <w:r>
        <w:rPr>
          <w:sz w:val="24"/>
          <w:szCs w:val="28"/>
        </w:rPr>
        <w:fldChar w:fldCharType="separate"/>
      </w:r>
      <w:r>
        <w:rPr>
          <w:sz w:val="24"/>
          <w:szCs w:val="28"/>
        </w:rPr>
        <w:fldChar w:fldCharType="end"/>
      </w:r>
      <w:bookmarkEnd w:id="8"/>
    </w:p>
    <w:p>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9" w:name="CMPLSH_DATE"/>
      <w:r>
        <w:rPr>
          <w:sz w:val="21"/>
          <w:szCs w:val="28"/>
        </w:rPr>
        <w:instrText xml:space="preserve"> FORMTEXT </w:instrText>
      </w:r>
      <w:r>
        <w:rPr>
          <w:sz w:val="21"/>
          <w:szCs w:val="28"/>
        </w:rPr>
        <w:fldChar w:fldCharType="separate"/>
      </w:r>
      <w:r>
        <w:rPr>
          <w:rFonts w:hint="eastAsia"/>
          <w:sz w:val="21"/>
          <w:szCs w:val="28"/>
        </w:rPr>
        <w:t>（本草案完成时间：2</w:t>
      </w:r>
      <w:r>
        <w:rPr>
          <w:sz w:val="21"/>
          <w:szCs w:val="28"/>
        </w:rPr>
        <w:t>022</w:t>
      </w:r>
      <w:r>
        <w:rPr>
          <w:rFonts w:hint="eastAsia"/>
          <w:sz w:val="21"/>
          <w:szCs w:val="28"/>
        </w:rPr>
        <w:t>.</w:t>
      </w:r>
      <w:r>
        <w:rPr>
          <w:sz w:val="21"/>
          <w:szCs w:val="28"/>
        </w:rPr>
        <w:t>07</w:t>
      </w:r>
      <w:r>
        <w:rPr>
          <w:rFonts w:hint="eastAsia"/>
          <w:sz w:val="21"/>
          <w:szCs w:val="28"/>
        </w:rPr>
        <w:t>.</w:t>
      </w:r>
      <w:r>
        <w:rPr>
          <w:sz w:val="21"/>
          <w:szCs w:val="28"/>
        </w:rPr>
        <w:t>12</w:t>
      </w:r>
      <w:r>
        <w:rPr>
          <w:rFonts w:hint="eastAsia"/>
          <w:sz w:val="21"/>
          <w:szCs w:val="28"/>
        </w:rPr>
        <w:t>）</w:t>
      </w:r>
      <w:r>
        <w:rPr>
          <w:sz w:val="21"/>
          <w:szCs w:val="28"/>
        </w:rPr>
        <w:fldChar w:fldCharType="end"/>
      </w:r>
      <w:bookmarkEnd w:id="9"/>
    </w:p>
    <w:p>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Pr>
          <w:b/>
          <w:sz w:val="21"/>
          <w:szCs w:val="28"/>
        </w:rPr>
        <w:fldChar w:fldCharType="separate"/>
      </w:r>
      <w:r>
        <w:rPr>
          <w:b/>
          <w:sz w:val="21"/>
          <w:szCs w:val="28"/>
        </w:rPr>
        <w:fldChar w:fldCharType="end"/>
      </w:r>
      <w:bookmarkEnd w:id="10"/>
    </w:p>
    <w:p>
      <w:pPr>
        <w:pStyle w:val="195"/>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ascii="黑体"/>
        </w:rPr>
        <w:t>2022</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pPr>
        <w:pStyle w:val="196"/>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ascii="黑体"/>
        </w:rPr>
        <w:t>2022</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p>
      <w:pPr>
        <w:pStyle w:val="153"/>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中国水产流通与</w:t>
      </w:r>
      <w:r>
        <w:rPr>
          <w:rFonts w:hAnsi="黑体"/>
          <w:w w:val="100"/>
          <w:sz w:val="28"/>
        </w:rPr>
        <w:t>加工协会</w:t>
      </w:r>
      <w:r>
        <w:rPr>
          <w:rFonts w:hAnsi="黑体"/>
          <w:w w:val="100"/>
          <w:sz w:val="28"/>
        </w:rPr>
        <w:fldChar w:fldCharType="end"/>
      </w:r>
      <w:bookmarkEnd w:id="17"/>
      <w:r>
        <w:rPr>
          <w:rFonts w:ascii="Times New Roman"/>
          <w:w w:val="100"/>
          <w:sz w:val="28"/>
        </w:rPr>
        <w:t>  </w:t>
      </w:r>
      <w:r>
        <w:rPr>
          <w:rStyle w:val="231"/>
          <w:rFonts w:hint="eastAsia" w:hAnsi="黑体"/>
          <w:position w:val="0"/>
        </w:rPr>
        <w:t>发</w:t>
      </w:r>
      <w:r>
        <w:rPr>
          <w:rStyle w:val="231"/>
          <w:rFonts w:hint="eastAsia" w:hAnsi="黑体"/>
          <w:spacing w:val="0"/>
          <w:position w:val="0"/>
        </w:rPr>
        <w:t>布</w:t>
      </w:r>
    </w:p>
    <w:p>
      <w:pPr>
        <w:pStyle w:val="9"/>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1"/>
        <w:spacing w:after="468"/>
      </w:pPr>
      <w:bookmarkStart w:id="18" w:name="BookMark2"/>
      <w:r>
        <w:rPr>
          <w:spacing w:val="320"/>
        </w:rPr>
        <w:t>前</w:t>
      </w:r>
      <w:r>
        <w:t>言</w:t>
      </w:r>
    </w:p>
    <w:p>
      <w:pPr>
        <w:pStyle w:val="58"/>
        <w:ind w:firstLine="420"/>
      </w:pPr>
      <w:r>
        <w:rPr>
          <w:rFonts w:hint="eastAsia"/>
        </w:rPr>
        <w:t>本文件按照GB/T 1.1—2020《标准化工作导则  第1部分：标准化文件的结构和起草规则》的规定起草。</w:t>
      </w:r>
    </w:p>
    <w:p>
      <w:pPr>
        <w:pStyle w:val="58"/>
        <w:ind w:firstLine="420"/>
      </w:pPr>
      <w:r>
        <w:rPr>
          <w:rFonts w:hint="eastAsia" w:ascii="Times New Roman"/>
        </w:rPr>
        <w:t>请注意本文件</w:t>
      </w:r>
      <w:r>
        <w:rPr>
          <w:rFonts w:ascii="Times New Roman"/>
        </w:rPr>
        <w:t>的某些内容可能涉及专利。本文件</w:t>
      </w:r>
      <w:r>
        <w:rPr>
          <w:rFonts w:hint="eastAsia" w:ascii="Times New Roman"/>
        </w:rPr>
        <w:t>的</w:t>
      </w:r>
      <w:r>
        <w:rPr>
          <w:rFonts w:ascii="Times New Roman"/>
        </w:rPr>
        <w:t>发布机构不承担识别专利的责任。</w:t>
      </w:r>
    </w:p>
    <w:p>
      <w:pPr>
        <w:pStyle w:val="58"/>
        <w:ind w:firstLine="420"/>
        <w:rPr>
          <w:rFonts w:hAnsi="宋体"/>
        </w:rPr>
      </w:pPr>
      <w:r>
        <w:rPr>
          <w:rFonts w:hint="eastAsia" w:hAnsi="宋体"/>
        </w:rPr>
        <w:t>本文件由中国水产流通与加工协会标准化技术委员会提出并归口。</w:t>
      </w:r>
    </w:p>
    <w:p>
      <w:pPr>
        <w:pStyle w:val="58"/>
        <w:ind w:firstLine="420"/>
      </w:pPr>
      <w:r>
        <w:rPr>
          <w:rFonts w:hint="eastAsia" w:hAnsi="宋体"/>
        </w:rPr>
        <w:t>本文件起草单位：乳山华信食品有限公司、大连瑞驰企业集团有限公司、蓬莱汇洋食品有限公司、中国水产流通与加工协会、中国水产科学研究院南海水产研究所、福建省水产研究所、大连工业大学</w:t>
      </w:r>
    </w:p>
    <w:p>
      <w:pPr>
        <w:pStyle w:val="58"/>
        <w:ind w:firstLine="420"/>
      </w:pPr>
      <w:r>
        <w:rPr>
          <w:rFonts w:hint="eastAsia"/>
        </w:rPr>
        <w:t>本文件主要起草人：</w:t>
      </w:r>
    </w:p>
    <w:p>
      <w:pPr>
        <w:pStyle w:val="58"/>
        <w:ind w:firstLine="420"/>
      </w:pPr>
    </w:p>
    <w:p>
      <w:pPr>
        <w:pStyle w:val="58"/>
        <w:ind w:firstLine="420"/>
        <w:sectPr>
          <w:headerReference r:id="rId9" w:type="default"/>
          <w:footerReference r:id="rId11" w:type="default"/>
          <w:headerReference r:id="rId10" w:type="even"/>
          <w:pgSz w:w="11906" w:h="16838"/>
          <w:pgMar w:top="1871" w:right="1134" w:bottom="1134" w:left="1134" w:header="1418" w:footer="1134" w:gutter="284"/>
          <w:pgNumType w:fmt="upperRoman" w:start="1"/>
          <w:cols w:space="425" w:num="1"/>
          <w:formProt w:val="0"/>
          <w:docGrid w:type="lines" w:linePitch="312" w:charSpace="0"/>
        </w:sectPr>
      </w:pPr>
    </w:p>
    <w:bookmarkEnd w:id="18"/>
    <w:p>
      <w:pPr>
        <w:spacing w:line="20" w:lineRule="exact"/>
        <w:jc w:val="center"/>
        <w:rPr>
          <w:rFonts w:ascii="黑体" w:hAnsi="黑体" w:eastAsia="黑体"/>
          <w:sz w:val="32"/>
          <w:szCs w:val="32"/>
        </w:rPr>
      </w:pPr>
      <w:bookmarkStart w:id="19" w:name="BookMark4"/>
    </w:p>
    <w:p>
      <w:pPr>
        <w:spacing w:line="20" w:lineRule="exact"/>
        <w:jc w:val="center"/>
        <w:rPr>
          <w:rFonts w:ascii="黑体" w:hAnsi="黑体" w:eastAsia="黑体"/>
          <w:sz w:val="32"/>
          <w:szCs w:val="32"/>
        </w:rPr>
      </w:pPr>
    </w:p>
    <w:sdt>
      <w:sdtPr>
        <w:tag w:val="NEW_STAND_NAME"/>
        <w:id w:val="595910757"/>
        <w:lock w:val="sdtLocked"/>
        <w:placeholder>
          <w:docPart w:val="B98CD3F26BC842F8850B31AC9414B04B"/>
        </w:placeholder>
      </w:sdtPr>
      <w:sdtContent>
        <w:p>
          <w:pPr>
            <w:pStyle w:val="179"/>
            <w:spacing w:before="567" w:beforeLines="182" w:after="686" w:afterLines="220"/>
          </w:pPr>
          <w:bookmarkStart w:id="20" w:name="NEW_STAND_NAME"/>
          <w:r>
            <w:rPr>
              <w:rFonts w:hint="eastAsia"/>
            </w:rPr>
            <w:t>水产品预制菜</w:t>
          </w:r>
        </w:p>
      </w:sdtContent>
    </w:sdt>
    <w:bookmarkEnd w:id="20"/>
    <w:p>
      <w:pPr>
        <w:pStyle w:val="106"/>
        <w:spacing w:before="312" w:after="312"/>
      </w:pPr>
      <w:bookmarkStart w:id="21" w:name="_Toc17233325"/>
      <w:bookmarkStart w:id="22" w:name="_Toc26718930"/>
      <w:bookmarkStart w:id="23" w:name="_Toc26986771"/>
      <w:bookmarkStart w:id="24" w:name="_Toc17233333"/>
      <w:bookmarkStart w:id="25" w:name="_Toc24884218"/>
      <w:bookmarkStart w:id="26" w:name="_Toc26986530"/>
      <w:bookmarkStart w:id="27" w:name="_Toc26648465"/>
      <w:bookmarkStart w:id="28" w:name="_Toc24884211"/>
      <w:r>
        <w:rPr>
          <w:rFonts w:hint="eastAsia"/>
        </w:rPr>
        <w:t>范围</w:t>
      </w:r>
      <w:bookmarkEnd w:id="21"/>
      <w:bookmarkEnd w:id="22"/>
      <w:bookmarkEnd w:id="23"/>
      <w:bookmarkEnd w:id="24"/>
      <w:bookmarkEnd w:id="25"/>
      <w:bookmarkEnd w:id="26"/>
      <w:bookmarkEnd w:id="27"/>
      <w:bookmarkEnd w:id="28"/>
    </w:p>
    <w:p>
      <w:pPr>
        <w:pStyle w:val="58"/>
        <w:ind w:firstLine="420"/>
      </w:pPr>
      <w:bookmarkStart w:id="29" w:name="_Toc17233326"/>
      <w:bookmarkStart w:id="30" w:name="_Toc17233334"/>
      <w:bookmarkStart w:id="31" w:name="_Toc24884212"/>
      <w:bookmarkStart w:id="32" w:name="_Toc24884219"/>
      <w:bookmarkStart w:id="33" w:name="_Toc26648466"/>
      <w:r>
        <w:rPr>
          <w:rFonts w:hint="eastAsia"/>
        </w:rPr>
        <w:t>本文件规定了水产品预制菜的分类、原辅料要求、加工要求、产品要求、检验规则、标签标志、包装、贮存和运输。</w:t>
      </w:r>
    </w:p>
    <w:p>
      <w:pPr>
        <w:pStyle w:val="58"/>
        <w:ind w:firstLine="420"/>
      </w:pPr>
      <w:r>
        <w:rPr>
          <w:rFonts w:hint="eastAsia"/>
        </w:rPr>
        <w:t>本文件适用于以水产品为主要原料，经加工而成的预制菜产品。</w:t>
      </w:r>
    </w:p>
    <w:p>
      <w:pPr>
        <w:pStyle w:val="106"/>
        <w:spacing w:before="312" w:after="312"/>
      </w:pPr>
      <w:bookmarkStart w:id="34" w:name="_Toc26986531"/>
      <w:bookmarkStart w:id="35" w:name="_Toc26718931"/>
      <w:bookmarkStart w:id="36" w:name="_Toc26986772"/>
      <w:r>
        <w:rPr>
          <w:rFonts w:hint="eastAsia"/>
        </w:rPr>
        <w:t>规范性引用文件</w:t>
      </w:r>
      <w:bookmarkEnd w:id="29"/>
      <w:bookmarkEnd w:id="30"/>
      <w:bookmarkEnd w:id="31"/>
      <w:bookmarkEnd w:id="32"/>
      <w:bookmarkEnd w:id="33"/>
      <w:bookmarkEnd w:id="34"/>
      <w:bookmarkEnd w:id="35"/>
      <w:bookmarkEnd w:id="36"/>
    </w:p>
    <w:sdt>
      <w:sdtPr>
        <w:rPr>
          <w:rFonts w:hint="eastAsia"/>
        </w:rPr>
        <w:id w:val="715848253"/>
        <w:placeholder>
          <w:docPart w:val="975F6A3F11C648DE9C98BBA861DD28F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233"/>
        <w:ind w:firstLine="400"/>
        <w:rPr>
          <w:rFonts w:hAnsi="Times New Roman"/>
        </w:rPr>
      </w:pPr>
    </w:p>
    <w:p>
      <w:pPr>
        <w:pStyle w:val="233"/>
        <w:ind w:firstLine="400"/>
        <w:rPr>
          <w:rFonts w:hAnsi="Times New Roman"/>
        </w:rPr>
      </w:pPr>
      <w:r>
        <w:rPr>
          <w:rFonts w:hint="eastAsia" w:hAnsi="Times New Roman"/>
        </w:rPr>
        <w:t>GB 2733 食品安全国家标准 鲜、冻动物性水产品</w:t>
      </w:r>
    </w:p>
    <w:p>
      <w:pPr>
        <w:pStyle w:val="233"/>
        <w:ind w:firstLine="400"/>
        <w:rPr>
          <w:rFonts w:hAnsi="Times New Roman"/>
        </w:rPr>
      </w:pPr>
      <w:r>
        <w:rPr>
          <w:rFonts w:hint="eastAsia" w:hAnsi="Times New Roman"/>
        </w:rPr>
        <w:t>GB 2760 食品安全国家标准 食品添加剂使用标准</w:t>
      </w:r>
    </w:p>
    <w:p>
      <w:pPr>
        <w:pStyle w:val="233"/>
        <w:ind w:firstLine="400"/>
        <w:rPr>
          <w:rFonts w:hAnsi="Times New Roman"/>
        </w:rPr>
      </w:pPr>
      <w:r>
        <w:rPr>
          <w:rFonts w:hint="eastAsia" w:hAnsi="宋体"/>
        </w:rPr>
        <w:t>GB 2761食品安全国家标准 食品中真菌毒素限量</w:t>
      </w:r>
    </w:p>
    <w:p>
      <w:pPr>
        <w:pStyle w:val="233"/>
        <w:ind w:firstLine="400"/>
        <w:rPr>
          <w:rFonts w:hAnsi="Times New Roman"/>
        </w:rPr>
      </w:pPr>
      <w:r>
        <w:rPr>
          <w:rFonts w:hint="eastAsia" w:hAnsi="Times New Roman"/>
        </w:rPr>
        <w:t>GB 2762 食品安全国家标准 食品中污染物限量</w:t>
      </w:r>
    </w:p>
    <w:p>
      <w:pPr>
        <w:pStyle w:val="233"/>
        <w:ind w:firstLine="400"/>
        <w:rPr>
          <w:rFonts w:hAnsi="Times New Roman"/>
        </w:rPr>
      </w:pPr>
      <w:r>
        <w:rPr>
          <w:rFonts w:hint="eastAsia" w:hAnsi="Times New Roman"/>
        </w:rPr>
        <w:t>GB 2763 食品安全国家标准 食品中农药最大残留限量</w:t>
      </w:r>
    </w:p>
    <w:p>
      <w:pPr>
        <w:pStyle w:val="233"/>
        <w:ind w:firstLine="400"/>
        <w:rPr>
          <w:rFonts w:hAnsi="Times New Roman"/>
        </w:rPr>
      </w:pPr>
      <w:r>
        <w:rPr>
          <w:rFonts w:hint="eastAsia" w:hAnsi="Times New Roman"/>
        </w:rPr>
        <w:t>GB 5749 生活饮用水卫生标准</w:t>
      </w:r>
    </w:p>
    <w:p>
      <w:pPr>
        <w:pStyle w:val="233"/>
        <w:ind w:firstLine="400"/>
        <w:rPr>
          <w:rFonts w:hAnsi="Times New Roman"/>
        </w:rPr>
      </w:pPr>
      <w:r>
        <w:rPr>
          <w:rFonts w:hint="eastAsia" w:hAnsi="宋体"/>
        </w:rPr>
        <w:t>GB 7098</w:t>
      </w:r>
      <w:r>
        <w:rPr>
          <w:rFonts w:hAnsi="宋体"/>
        </w:rPr>
        <w:t xml:space="preserve"> </w:t>
      </w:r>
      <w:r>
        <w:rPr>
          <w:rFonts w:hint="eastAsia" w:hAnsi="宋体"/>
        </w:rPr>
        <w:t>食品安全国</w:t>
      </w:r>
      <w:bookmarkStart w:id="39" w:name="_GoBack"/>
      <w:bookmarkEnd w:id="39"/>
      <w:r>
        <w:rPr>
          <w:rFonts w:hint="eastAsia" w:hAnsi="宋体"/>
        </w:rPr>
        <w:t>家标准 罐头食品</w:t>
      </w:r>
    </w:p>
    <w:p>
      <w:pPr>
        <w:pStyle w:val="233"/>
        <w:ind w:firstLine="400"/>
        <w:rPr>
          <w:rFonts w:hAnsi="Times New Roman"/>
        </w:rPr>
      </w:pPr>
      <w:r>
        <w:rPr>
          <w:rFonts w:hint="eastAsia" w:hAnsi="Times New Roman"/>
        </w:rPr>
        <w:t>GB 7718 食品安全国家标准 预包装食品标签通则</w:t>
      </w:r>
    </w:p>
    <w:p>
      <w:pPr>
        <w:pStyle w:val="233"/>
        <w:ind w:firstLine="400"/>
        <w:rPr>
          <w:rFonts w:hAnsi="Times New Roman"/>
        </w:rPr>
      </w:pPr>
      <w:r>
        <w:rPr>
          <w:rFonts w:hint="eastAsia" w:hAnsi="宋体"/>
        </w:rPr>
        <w:t>GB 10133 食品安全国家标准 水产调味品</w:t>
      </w:r>
    </w:p>
    <w:p>
      <w:pPr>
        <w:pStyle w:val="233"/>
        <w:ind w:firstLine="400"/>
        <w:rPr>
          <w:rFonts w:hAnsi="Times New Roman"/>
        </w:rPr>
      </w:pPr>
      <w:r>
        <w:rPr>
          <w:rFonts w:hint="eastAsia" w:hAnsi="Times New Roman"/>
        </w:rPr>
        <w:t>GB</w:t>
      </w:r>
      <w:r>
        <w:rPr>
          <w:rFonts w:hAnsi="Times New Roman"/>
        </w:rPr>
        <w:t xml:space="preserve"> 10136 </w:t>
      </w:r>
      <w:r>
        <w:rPr>
          <w:rFonts w:hint="eastAsia" w:hAnsi="Times New Roman"/>
        </w:rPr>
        <w:t xml:space="preserve">食品安全国家标准 </w:t>
      </w:r>
      <w:r>
        <w:rPr>
          <w:rFonts w:hAnsi="Times New Roman"/>
        </w:rPr>
        <w:t xml:space="preserve"> 动物性水产制品</w:t>
      </w:r>
    </w:p>
    <w:p>
      <w:pPr>
        <w:pStyle w:val="233"/>
        <w:ind w:firstLine="400"/>
        <w:rPr>
          <w:rFonts w:hAnsi="Times New Roman"/>
        </w:rPr>
      </w:pPr>
      <w:r>
        <w:rPr>
          <w:rFonts w:hint="eastAsia" w:hAnsi="宋体"/>
        </w:rPr>
        <w:t>GB/T 15691 香辛料调味品通用技术条件</w:t>
      </w:r>
    </w:p>
    <w:p>
      <w:pPr>
        <w:pStyle w:val="233"/>
        <w:ind w:firstLine="400"/>
        <w:rPr>
          <w:rFonts w:hAnsi="Times New Roman"/>
        </w:rPr>
      </w:pPr>
      <w:r>
        <w:rPr>
          <w:rFonts w:hint="eastAsia" w:hAnsi="Times New Roman"/>
        </w:rPr>
        <w:t>GB 19643 食品安全国家标准 藻类及其制品</w:t>
      </w:r>
    </w:p>
    <w:p>
      <w:pPr>
        <w:pStyle w:val="233"/>
        <w:ind w:firstLine="400"/>
        <w:rPr>
          <w:rFonts w:hAnsi="Times New Roman"/>
        </w:rPr>
      </w:pPr>
      <w:r>
        <w:rPr>
          <w:rFonts w:hint="eastAsia" w:hAnsi="Times New Roman"/>
        </w:rPr>
        <w:t>GB 20941 食品安全国家标准 水产制品生产卫生规范</w:t>
      </w:r>
    </w:p>
    <w:p>
      <w:pPr>
        <w:pStyle w:val="233"/>
        <w:ind w:firstLine="400"/>
        <w:rPr>
          <w:rFonts w:hAnsi="Times New Roman"/>
        </w:rPr>
      </w:pPr>
      <w:r>
        <w:rPr>
          <w:rFonts w:hint="eastAsia" w:hAnsi="Times New Roman"/>
        </w:rPr>
        <w:t>GB 28050 食品安全国家标准 预包装食品营养标签通则</w:t>
      </w:r>
    </w:p>
    <w:p>
      <w:pPr>
        <w:pStyle w:val="233"/>
        <w:ind w:firstLine="400"/>
        <w:rPr>
          <w:rFonts w:hAnsi="Times New Roman"/>
        </w:rPr>
      </w:pPr>
      <w:r>
        <w:rPr>
          <w:rFonts w:hint="eastAsia" w:hAnsi="Times New Roman"/>
        </w:rPr>
        <w:t xml:space="preserve">GB 29921 </w:t>
      </w:r>
      <w:r>
        <w:rPr>
          <w:rFonts w:hAnsi="Times New Roman"/>
        </w:rPr>
        <w:t>食品安全国家标准 预包装食品中致病菌限量</w:t>
      </w:r>
    </w:p>
    <w:p>
      <w:pPr>
        <w:pStyle w:val="233"/>
        <w:ind w:firstLine="400"/>
        <w:rPr>
          <w:rFonts w:hAnsi="Times New Roman"/>
        </w:rPr>
      </w:pPr>
      <w:r>
        <w:rPr>
          <w:rFonts w:hint="eastAsia" w:hAnsi="Times New Roman"/>
        </w:rPr>
        <w:t>GB 31644 食品安全国家标准 复合调味料</w:t>
      </w:r>
    </w:p>
    <w:p>
      <w:pPr>
        <w:pStyle w:val="233"/>
        <w:ind w:firstLine="400"/>
        <w:rPr>
          <w:rFonts w:hAnsi="Times New Roman"/>
        </w:rPr>
      </w:pPr>
      <w:r>
        <w:rPr>
          <w:rFonts w:hint="eastAsia" w:hAnsi="Times New Roman"/>
        </w:rPr>
        <w:t>GB</w:t>
      </w:r>
      <w:r>
        <w:rPr>
          <w:rFonts w:hAnsi="Times New Roman"/>
        </w:rPr>
        <w:t xml:space="preserve"> </w:t>
      </w:r>
      <w:r>
        <w:rPr>
          <w:rFonts w:hint="eastAsia" w:hAnsi="Times New Roman"/>
        </w:rPr>
        <w:t>3</w:t>
      </w:r>
      <w:r>
        <w:rPr>
          <w:rFonts w:hAnsi="Times New Roman"/>
        </w:rPr>
        <w:t>1</w:t>
      </w:r>
      <w:r>
        <w:rPr>
          <w:rFonts w:hint="eastAsia" w:hAnsi="Times New Roman"/>
        </w:rPr>
        <w:t>654</w:t>
      </w:r>
      <w:r>
        <w:rPr>
          <w:rFonts w:hAnsi="Times New Roman"/>
        </w:rPr>
        <w:t xml:space="preserve"> </w:t>
      </w:r>
      <w:r>
        <w:rPr>
          <w:rFonts w:hint="eastAsia" w:hAnsi="Times New Roman"/>
        </w:rPr>
        <w:t>食品安全国家标准 餐饮服务通用卫生规范</w:t>
      </w:r>
    </w:p>
    <w:p>
      <w:pPr>
        <w:pStyle w:val="233"/>
        <w:ind w:firstLine="400"/>
        <w:rPr>
          <w:rFonts w:hAnsi="宋体"/>
        </w:rPr>
      </w:pPr>
      <w:r>
        <w:rPr>
          <w:rFonts w:hint="eastAsia" w:hAnsi="宋体"/>
        </w:rPr>
        <w:t>GB/T 30891-2014 水产品抽样规范</w:t>
      </w:r>
    </w:p>
    <w:p>
      <w:pPr>
        <w:pStyle w:val="233"/>
        <w:ind w:firstLine="400"/>
        <w:rPr>
          <w:rFonts w:hAnsi="Times New Roman"/>
        </w:rPr>
      </w:pPr>
      <w:r>
        <w:rPr>
          <w:rFonts w:hint="eastAsia"/>
        </w:rPr>
        <w:t>GB</w:t>
      </w:r>
      <w:r>
        <w:t>/</w:t>
      </w:r>
      <w:r>
        <w:rPr>
          <w:rFonts w:hint="eastAsia"/>
        </w:rPr>
        <w:t>T</w:t>
      </w:r>
      <w:r>
        <w:t xml:space="preserve"> </w:t>
      </w:r>
      <w:r>
        <w:rPr>
          <w:rFonts w:hint="eastAsia"/>
        </w:rPr>
        <w:t>36193</w:t>
      </w:r>
      <w:r>
        <w:t xml:space="preserve">  </w:t>
      </w:r>
      <w:r>
        <w:rPr>
          <w:rFonts w:hint="eastAsia"/>
        </w:rPr>
        <w:t>水产品加工术语</w:t>
      </w:r>
    </w:p>
    <w:p>
      <w:pPr>
        <w:pStyle w:val="233"/>
        <w:ind w:firstLine="400"/>
        <w:rPr>
          <w:rFonts w:hAnsi="Times New Roman"/>
        </w:rPr>
      </w:pPr>
      <w:r>
        <w:rPr>
          <w:rFonts w:hint="eastAsia" w:hAnsi="Times New Roman"/>
        </w:rPr>
        <w:t xml:space="preserve">JJF 1070 </w:t>
      </w:r>
      <w:r>
        <w:rPr>
          <w:rFonts w:hAnsi="Times New Roman"/>
        </w:rPr>
        <w:t xml:space="preserve"> </w:t>
      </w:r>
      <w:r>
        <w:rPr>
          <w:rFonts w:hint="eastAsia" w:hAnsi="Times New Roman"/>
        </w:rPr>
        <w:t>定量包装商品净含量计量检验规则</w:t>
      </w:r>
    </w:p>
    <w:p>
      <w:pPr>
        <w:pStyle w:val="233"/>
        <w:ind w:firstLine="400"/>
        <w:rPr>
          <w:rFonts w:hAnsi="Times New Roman"/>
        </w:rPr>
      </w:pPr>
      <w:r>
        <w:rPr>
          <w:rFonts w:hint="eastAsia" w:hAnsi="Times New Roman"/>
        </w:rPr>
        <w:t>国家质量监督检验检疫总局第75号 定量包装商品计量监督管理办法</w:t>
      </w:r>
    </w:p>
    <w:p>
      <w:pPr>
        <w:pStyle w:val="233"/>
        <w:ind w:firstLine="400"/>
        <w:rPr>
          <w:rFonts w:hAnsi="宋体"/>
        </w:rPr>
      </w:pPr>
      <w:r>
        <w:rPr>
          <w:rFonts w:hAnsi="宋体"/>
        </w:rPr>
        <w:t xml:space="preserve">SC/T 3035 </w:t>
      </w:r>
      <w:r>
        <w:rPr>
          <w:rFonts w:hint="eastAsia" w:hAnsi="宋体"/>
        </w:rPr>
        <w:t xml:space="preserve"> 水产品包装、标识通则</w:t>
      </w:r>
    </w:p>
    <w:p>
      <w:pPr>
        <w:pStyle w:val="106"/>
        <w:spacing w:before="312" w:after="312"/>
        <w:rPr>
          <w:szCs w:val="21"/>
        </w:rPr>
      </w:pPr>
      <w:r>
        <w:rPr>
          <w:rFonts w:hint="eastAsia"/>
          <w:szCs w:val="21"/>
        </w:rPr>
        <w:t>术语和定义</w:t>
      </w:r>
    </w:p>
    <w:sdt>
      <w:sdtPr>
        <w:id w:val="-1909835108"/>
        <w:placeholder>
          <w:docPart w:val="1FCC92E53FAC41EEA07C61C542F5818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8"/>
            <w:ind w:firstLine="420"/>
          </w:pPr>
          <w:bookmarkStart w:id="37" w:name="_Toc26986532"/>
          <w:bookmarkEnd w:id="37"/>
          <w:r>
            <w:t>GB/T 36193界定的以及下列术语和定义适用于本文件。</w:t>
          </w:r>
        </w:p>
      </w:sdtContent>
    </w:sdt>
    <w:p>
      <w:pPr>
        <w:pStyle w:val="225"/>
        <w:numPr>
          <w:ilvl w:val="2"/>
          <w:numId w:val="0"/>
        </w:numPr>
        <w:ind w:left="-420" w:leftChars="-200"/>
        <w:rPr>
          <w:rFonts w:ascii="黑体" w:hAnsi="黑体" w:eastAsia="黑体"/>
        </w:rPr>
      </w:pPr>
    </w:p>
    <w:p>
      <w:pPr>
        <w:pStyle w:val="225"/>
        <w:ind w:left="420" w:hanging="420" w:hangingChars="200"/>
        <w:rPr>
          <w:rFonts w:ascii="黑体" w:hAnsi="黑体" w:eastAsia="黑体"/>
        </w:rPr>
      </w:pPr>
    </w:p>
    <w:p>
      <w:pPr>
        <w:pStyle w:val="225"/>
        <w:numPr>
          <w:ilvl w:val="0"/>
          <w:numId w:val="0"/>
        </w:numPr>
        <w:ind w:left="420"/>
        <w:rPr>
          <w:rFonts w:ascii="黑体" w:hAnsi="黑体" w:eastAsia="黑体"/>
        </w:rPr>
      </w:pPr>
      <w:r>
        <w:rPr>
          <w:rFonts w:hint="eastAsia" w:ascii="黑体" w:hAnsi="黑体" w:eastAsia="黑体"/>
        </w:rPr>
        <w:t xml:space="preserve">水产品预制菜  </w:t>
      </w:r>
      <w:r>
        <w:rPr>
          <w:rFonts w:ascii="黑体" w:hAnsi="黑体" w:eastAsia="黑体"/>
        </w:rPr>
        <w:t>a</w:t>
      </w:r>
      <w:r>
        <w:rPr>
          <w:rFonts w:hint="eastAsia" w:ascii="黑体" w:hAnsi="黑体" w:eastAsia="黑体"/>
        </w:rPr>
        <w:t>quatic</w:t>
      </w:r>
      <w:r>
        <w:rPr>
          <w:rFonts w:ascii="黑体" w:hAnsi="黑体" w:eastAsia="黑体"/>
        </w:rPr>
        <w:t xml:space="preserve"> </w:t>
      </w:r>
      <w:r>
        <w:rPr>
          <w:rFonts w:hint="eastAsia" w:ascii="黑体" w:hAnsi="黑体" w:eastAsia="黑体"/>
        </w:rPr>
        <w:t>prepared dishes</w:t>
      </w:r>
    </w:p>
    <w:p>
      <w:pPr>
        <w:pStyle w:val="58"/>
        <w:ind w:firstLine="420"/>
      </w:pPr>
      <w:r>
        <w:rPr>
          <w:rFonts w:hint="eastAsia"/>
        </w:rPr>
        <w:t>以水产品为主要原料，配以或不配以辅料和调味品，按照标准化生产工艺，经工厂化加工制成的预包装菜肴食品。</w:t>
      </w:r>
    </w:p>
    <w:p>
      <w:pPr>
        <w:pStyle w:val="225"/>
        <w:numPr>
          <w:ilvl w:val="2"/>
          <w:numId w:val="0"/>
        </w:numPr>
        <w:ind w:left="-420" w:leftChars="-200"/>
        <w:rPr>
          <w:rFonts w:ascii="黑体" w:eastAsia="黑体"/>
        </w:rPr>
      </w:pPr>
    </w:p>
    <w:p>
      <w:pPr>
        <w:pStyle w:val="225"/>
        <w:ind w:left="420" w:hanging="420" w:hangingChars="200"/>
        <w:rPr>
          <w:rFonts w:ascii="黑体" w:eastAsia="黑体"/>
        </w:rPr>
      </w:pPr>
    </w:p>
    <w:p>
      <w:pPr>
        <w:pStyle w:val="225"/>
        <w:numPr>
          <w:ilvl w:val="0"/>
          <w:numId w:val="0"/>
        </w:numPr>
        <w:ind w:left="420"/>
        <w:rPr>
          <w:rFonts w:ascii="黑体" w:eastAsia="黑体"/>
        </w:rPr>
      </w:pPr>
      <w:r>
        <w:rPr>
          <w:rFonts w:hint="eastAsia" w:ascii="黑体" w:eastAsia="黑体"/>
        </w:rPr>
        <w:t xml:space="preserve">即食水产品预制菜  </w:t>
      </w:r>
      <w:r>
        <w:rPr>
          <w:rFonts w:ascii="黑体" w:eastAsia="黑体"/>
        </w:rPr>
        <w:t xml:space="preserve">ready-to-eat </w:t>
      </w:r>
      <w:r>
        <w:rPr>
          <w:rFonts w:hint="eastAsia" w:ascii="黑体" w:hAnsi="黑体" w:eastAsia="黑体"/>
        </w:rPr>
        <w:t>aquatic</w:t>
      </w:r>
      <w:r>
        <w:rPr>
          <w:rFonts w:ascii="黑体" w:hAnsi="黑体" w:eastAsia="黑体"/>
        </w:rPr>
        <w:t xml:space="preserve"> </w:t>
      </w:r>
      <w:r>
        <w:rPr>
          <w:rFonts w:ascii="黑体" w:eastAsia="黑体"/>
        </w:rPr>
        <w:t>prepared dishes</w:t>
      </w:r>
    </w:p>
    <w:p>
      <w:pPr>
        <w:pStyle w:val="58"/>
        <w:ind w:firstLine="420"/>
      </w:pPr>
      <w:r>
        <w:rPr>
          <w:rFonts w:hint="eastAsia"/>
        </w:rPr>
        <w:t>开袋后可直接食用，无需进一步热处理的水产品预制菜。</w:t>
      </w:r>
    </w:p>
    <w:p>
      <w:pPr>
        <w:pStyle w:val="225"/>
        <w:numPr>
          <w:ilvl w:val="2"/>
          <w:numId w:val="0"/>
        </w:numPr>
        <w:ind w:left="-420" w:leftChars="-200"/>
        <w:rPr>
          <w:rFonts w:ascii="黑体" w:hAnsi="黑体" w:eastAsia="黑体"/>
        </w:rPr>
      </w:pPr>
    </w:p>
    <w:p>
      <w:pPr>
        <w:pStyle w:val="225"/>
        <w:ind w:left="420" w:hanging="420" w:hangingChars="200"/>
        <w:rPr>
          <w:rFonts w:ascii="黑体" w:hAnsi="黑体" w:eastAsia="黑体"/>
        </w:rPr>
      </w:pPr>
    </w:p>
    <w:p>
      <w:pPr>
        <w:pStyle w:val="225"/>
        <w:numPr>
          <w:ilvl w:val="0"/>
          <w:numId w:val="0"/>
        </w:numPr>
        <w:ind w:left="420"/>
        <w:rPr>
          <w:rFonts w:ascii="黑体" w:hAnsi="黑体" w:eastAsia="黑体"/>
        </w:rPr>
      </w:pPr>
      <w:r>
        <w:rPr>
          <w:rFonts w:hint="eastAsia" w:ascii="黑体" w:hAnsi="黑体" w:eastAsia="黑体"/>
        </w:rPr>
        <w:t xml:space="preserve">即热水产品预制菜 </w:t>
      </w:r>
      <w:r>
        <w:rPr>
          <w:rFonts w:ascii="黑体" w:hAnsi="黑体" w:eastAsia="黑体"/>
        </w:rPr>
        <w:t xml:space="preserve"> ready-to-</w:t>
      </w:r>
      <w:r>
        <w:rPr>
          <w:rFonts w:hint="eastAsia" w:ascii="黑体" w:hAnsi="黑体" w:eastAsia="黑体"/>
        </w:rPr>
        <w:t>heat</w:t>
      </w:r>
      <w:r>
        <w:rPr>
          <w:rFonts w:ascii="黑体" w:hAnsi="黑体" w:eastAsia="黑体"/>
        </w:rPr>
        <w:t xml:space="preserve"> </w:t>
      </w:r>
      <w:r>
        <w:rPr>
          <w:rFonts w:hint="eastAsia" w:ascii="黑体" w:hAnsi="黑体" w:eastAsia="黑体"/>
        </w:rPr>
        <w:t>aquatic</w:t>
      </w:r>
      <w:r>
        <w:rPr>
          <w:rFonts w:ascii="黑体" w:hAnsi="黑体" w:eastAsia="黑体"/>
        </w:rPr>
        <w:t xml:space="preserve"> </w:t>
      </w:r>
      <w:r>
        <w:rPr>
          <w:rFonts w:hint="eastAsia" w:ascii="黑体" w:hAnsi="黑体" w:eastAsia="黑体"/>
        </w:rPr>
        <w:t>prepared dishes</w:t>
      </w:r>
    </w:p>
    <w:p>
      <w:pPr>
        <w:pStyle w:val="58"/>
        <w:ind w:firstLine="420"/>
      </w:pPr>
      <w:r>
        <w:rPr>
          <w:rFonts w:hint="eastAsia"/>
        </w:rPr>
        <w:t>应经过加热后方可食用的水产品预制菜。</w:t>
      </w:r>
    </w:p>
    <w:p>
      <w:pPr>
        <w:pStyle w:val="225"/>
        <w:numPr>
          <w:ilvl w:val="2"/>
          <w:numId w:val="0"/>
        </w:numPr>
        <w:ind w:left="-420" w:leftChars="-200"/>
        <w:rPr>
          <w:rFonts w:ascii="黑体" w:hAnsi="黑体" w:eastAsia="黑体"/>
        </w:rPr>
      </w:pPr>
    </w:p>
    <w:p>
      <w:pPr>
        <w:pStyle w:val="225"/>
        <w:ind w:left="420" w:hanging="420" w:hangingChars="200"/>
        <w:rPr>
          <w:rFonts w:ascii="黑体" w:hAnsi="黑体" w:eastAsia="黑体"/>
        </w:rPr>
      </w:pPr>
    </w:p>
    <w:p>
      <w:pPr>
        <w:pStyle w:val="225"/>
        <w:numPr>
          <w:ilvl w:val="0"/>
          <w:numId w:val="0"/>
        </w:numPr>
        <w:ind w:left="420"/>
        <w:rPr>
          <w:rFonts w:ascii="黑体" w:hAnsi="黑体" w:eastAsia="黑体"/>
        </w:rPr>
      </w:pPr>
      <w:r>
        <w:rPr>
          <w:rFonts w:hint="eastAsia" w:ascii="黑体" w:eastAsia="黑体"/>
        </w:rPr>
        <w:t xml:space="preserve">即烹水产品预制菜  </w:t>
      </w:r>
      <w:r>
        <w:rPr>
          <w:rFonts w:ascii="黑体" w:eastAsia="黑体"/>
        </w:rPr>
        <w:t>r</w:t>
      </w:r>
      <w:r>
        <w:rPr>
          <w:rFonts w:hint="eastAsia" w:ascii="黑体" w:eastAsia="黑体"/>
        </w:rPr>
        <w:t xml:space="preserve">eady-to-cook </w:t>
      </w:r>
      <w:r>
        <w:rPr>
          <w:rFonts w:hint="eastAsia" w:ascii="黑体" w:hAnsi="黑体" w:eastAsia="黑体"/>
        </w:rPr>
        <w:t>aquatic</w:t>
      </w:r>
      <w:r>
        <w:rPr>
          <w:rFonts w:ascii="黑体" w:hAnsi="黑体" w:eastAsia="黑体"/>
        </w:rPr>
        <w:t xml:space="preserve"> </w:t>
      </w:r>
      <w:r>
        <w:rPr>
          <w:rFonts w:ascii="黑体" w:eastAsia="黑体"/>
        </w:rPr>
        <w:t xml:space="preserve"> prepared dishes</w:t>
      </w:r>
    </w:p>
    <w:p>
      <w:pPr>
        <w:pStyle w:val="58"/>
        <w:ind w:firstLine="420"/>
      </w:pPr>
      <w:r>
        <w:rPr>
          <w:rFonts w:hint="eastAsia"/>
        </w:rPr>
        <w:t>配以或不配以辅料，进行烹调后可食用的水产品预制菜。</w:t>
      </w:r>
    </w:p>
    <w:p>
      <w:pPr>
        <w:pStyle w:val="58"/>
        <w:ind w:firstLine="420"/>
      </w:pPr>
    </w:p>
    <w:p>
      <w:pPr>
        <w:pStyle w:val="225"/>
        <w:ind w:left="420" w:hanging="420" w:hangingChars="200"/>
        <w:rPr>
          <w:rFonts w:ascii="黑体" w:eastAsia="黑体"/>
        </w:rPr>
      </w:pPr>
    </w:p>
    <w:p>
      <w:pPr>
        <w:pStyle w:val="134"/>
        <w:numPr>
          <w:ilvl w:val="0"/>
          <w:numId w:val="0"/>
        </w:numPr>
        <w:ind w:left="425"/>
        <w:rPr>
          <w:rFonts w:ascii="黑体" w:eastAsia="黑体"/>
        </w:rPr>
      </w:pPr>
      <w:r>
        <w:rPr>
          <w:rFonts w:hint="eastAsia" w:ascii="黑体" w:eastAsia="黑体"/>
        </w:rPr>
        <w:t xml:space="preserve">常温贮运水产品预制菜 </w:t>
      </w:r>
      <w:r>
        <w:rPr>
          <w:rFonts w:hint="eastAsia" w:ascii="黑体" w:hAnsi="黑体" w:eastAsia="黑体"/>
        </w:rPr>
        <w:t>room temperature aquatic</w:t>
      </w:r>
      <w:r>
        <w:rPr>
          <w:rFonts w:ascii="黑体" w:hAnsi="黑体" w:eastAsia="黑体"/>
        </w:rPr>
        <w:t xml:space="preserve"> </w:t>
      </w:r>
      <w:r>
        <w:rPr>
          <w:rFonts w:ascii="黑体" w:eastAsia="黑体"/>
        </w:rPr>
        <w:t>prepared dishes</w:t>
      </w:r>
    </w:p>
    <w:p>
      <w:pPr>
        <w:pStyle w:val="58"/>
        <w:ind w:firstLine="420"/>
      </w:pPr>
      <w:r>
        <w:rPr>
          <w:rFonts w:hint="eastAsia"/>
        </w:rPr>
        <w:t>可以在常温条件下运输和销售的水产品预制菜。</w:t>
      </w:r>
    </w:p>
    <w:p>
      <w:pPr>
        <w:pStyle w:val="225"/>
        <w:ind w:left="420" w:hanging="420" w:hangingChars="200"/>
        <w:rPr>
          <w:rFonts w:ascii="黑体" w:eastAsia="黑体"/>
        </w:rPr>
      </w:pPr>
    </w:p>
    <w:p>
      <w:pPr>
        <w:pStyle w:val="225"/>
        <w:numPr>
          <w:ilvl w:val="0"/>
          <w:numId w:val="0"/>
        </w:numPr>
        <w:ind w:left="420"/>
        <w:rPr>
          <w:rFonts w:ascii="黑体" w:hAnsi="黑体" w:eastAsia="黑体"/>
        </w:rPr>
      </w:pPr>
      <w:r>
        <w:rPr>
          <w:rFonts w:hint="eastAsia" w:ascii="黑体" w:hAnsi="黑体" w:eastAsia="黑体"/>
        </w:rPr>
        <w:t>冷藏贮运水产品预制菜 chilled</w:t>
      </w:r>
      <w:r>
        <w:rPr>
          <w:rFonts w:ascii="黑体" w:hAnsi="黑体" w:eastAsia="黑体"/>
        </w:rPr>
        <w:t xml:space="preserve"> </w:t>
      </w:r>
      <w:r>
        <w:rPr>
          <w:rFonts w:hint="eastAsia" w:ascii="黑体" w:hAnsi="黑体" w:eastAsia="黑体"/>
        </w:rPr>
        <w:t>aquatic</w:t>
      </w:r>
      <w:r>
        <w:rPr>
          <w:rFonts w:ascii="黑体" w:hAnsi="黑体" w:eastAsia="黑体"/>
        </w:rPr>
        <w:t xml:space="preserve"> prepared dishes</w:t>
      </w:r>
    </w:p>
    <w:p>
      <w:pPr>
        <w:pStyle w:val="225"/>
        <w:numPr>
          <w:ilvl w:val="2"/>
          <w:numId w:val="0"/>
        </w:numPr>
        <w:ind w:left="-420" w:leftChars="-200" w:firstLine="840" w:firstLineChars="400"/>
        <w:rPr>
          <w:rFonts w:ascii="黑体" w:hAnsi="黑体" w:eastAsia="黑体"/>
        </w:rPr>
      </w:pPr>
      <w:r>
        <w:rPr>
          <w:rFonts w:hint="eastAsia"/>
        </w:rPr>
        <w:t>经过快速冷却后在0℃～1</w:t>
      </w:r>
      <w:r>
        <w:t>0</w:t>
      </w:r>
      <w:r>
        <w:rPr>
          <w:rFonts w:hint="eastAsia"/>
        </w:rPr>
        <w:t>℃条件下进行贮存、运输和销售的水产品预制菜。</w:t>
      </w:r>
    </w:p>
    <w:p>
      <w:pPr>
        <w:pStyle w:val="225"/>
        <w:ind w:left="420" w:hanging="420" w:hangingChars="200"/>
        <w:rPr>
          <w:rFonts w:ascii="黑体" w:hAnsi="黑体" w:eastAsia="黑体"/>
        </w:rPr>
      </w:pPr>
    </w:p>
    <w:p>
      <w:pPr>
        <w:pStyle w:val="225"/>
        <w:numPr>
          <w:ilvl w:val="0"/>
          <w:numId w:val="0"/>
        </w:numPr>
        <w:ind w:left="420"/>
        <w:rPr>
          <w:rFonts w:ascii="黑体" w:eastAsia="黑体"/>
        </w:rPr>
      </w:pPr>
      <w:r>
        <w:rPr>
          <w:rFonts w:hint="eastAsia" w:ascii="黑体" w:hAnsi="黑体" w:eastAsia="黑体"/>
        </w:rPr>
        <w:t>冷冻</w:t>
      </w:r>
      <w:r>
        <w:rPr>
          <w:rFonts w:hint="eastAsia" w:ascii="黑体" w:eastAsia="黑体"/>
        </w:rPr>
        <w:t xml:space="preserve">水产品预制菜 </w:t>
      </w:r>
      <w:r>
        <w:rPr>
          <w:rFonts w:ascii="黑体" w:eastAsia="黑体"/>
        </w:rPr>
        <w:t xml:space="preserve"> </w:t>
      </w:r>
      <w:r>
        <w:rPr>
          <w:rFonts w:hint="eastAsia" w:ascii="黑体" w:eastAsia="黑体"/>
        </w:rPr>
        <w:t>f</w:t>
      </w:r>
      <w:r>
        <w:rPr>
          <w:rFonts w:ascii="黑体" w:eastAsia="黑体"/>
        </w:rPr>
        <w:t xml:space="preserve">rozen </w:t>
      </w:r>
      <w:r>
        <w:rPr>
          <w:rFonts w:hint="eastAsia" w:ascii="黑体" w:hAnsi="黑体" w:eastAsia="黑体"/>
        </w:rPr>
        <w:t>aquatic</w:t>
      </w:r>
      <w:r>
        <w:rPr>
          <w:rFonts w:ascii="黑体" w:hAnsi="黑体" w:eastAsia="黑体"/>
        </w:rPr>
        <w:t xml:space="preserve"> </w:t>
      </w:r>
      <w:r>
        <w:rPr>
          <w:rFonts w:ascii="黑体" w:eastAsia="黑体"/>
        </w:rPr>
        <w:t>prepared dishes</w:t>
      </w:r>
    </w:p>
    <w:p>
      <w:pPr>
        <w:pStyle w:val="58"/>
        <w:ind w:firstLine="420"/>
      </w:pPr>
      <w:r>
        <w:rPr>
          <w:rFonts w:hint="eastAsia"/>
        </w:rPr>
        <w:t>经过快速冻结后在-</w:t>
      </w:r>
      <w:r>
        <w:t>18</w:t>
      </w:r>
      <w:r>
        <w:rPr>
          <w:rFonts w:hint="eastAsia"/>
        </w:rPr>
        <w:t>℃及以下温度贮存，并在-</w:t>
      </w:r>
      <w:r>
        <w:t>12</w:t>
      </w:r>
      <w:r>
        <w:rPr>
          <w:rFonts w:hint="eastAsia"/>
        </w:rPr>
        <w:t>℃及以下温度运输和销售的水产品预制菜。</w:t>
      </w:r>
    </w:p>
    <w:p>
      <w:pPr>
        <w:pStyle w:val="58"/>
        <w:ind w:firstLine="420"/>
      </w:pPr>
    </w:p>
    <w:p>
      <w:pPr>
        <w:pStyle w:val="225"/>
        <w:ind w:left="420" w:hanging="420" w:hangingChars="200"/>
        <w:rPr>
          <w:rFonts w:ascii="黑体" w:hAnsi="黑体" w:eastAsia="黑体"/>
        </w:rPr>
      </w:pPr>
    </w:p>
    <w:p>
      <w:pPr>
        <w:pStyle w:val="225"/>
        <w:numPr>
          <w:ilvl w:val="2"/>
          <w:numId w:val="0"/>
        </w:numPr>
        <w:ind w:left="-420" w:leftChars="-200" w:firstLine="840"/>
        <w:rPr>
          <w:rFonts w:ascii="黑体" w:hAnsi="黑体" w:eastAsia="黑体"/>
        </w:rPr>
      </w:pPr>
      <w:r>
        <w:rPr>
          <w:rFonts w:hint="eastAsia" w:ascii="黑体" w:hAnsi="黑体" w:eastAsia="黑体"/>
        </w:rPr>
        <w:t>动物性水产品预制菜  animal aquatic products prepared dishes</w:t>
      </w:r>
    </w:p>
    <w:p>
      <w:pPr>
        <w:pStyle w:val="58"/>
        <w:ind w:firstLine="420"/>
      </w:pPr>
      <w:r>
        <w:rPr>
          <w:rFonts w:hint="eastAsia"/>
        </w:rPr>
        <w:t>以鱼类、甲壳类、贝类、头足类等动物性水产及其制品为主要原料制成的预制菜。</w:t>
      </w:r>
    </w:p>
    <w:p>
      <w:pPr>
        <w:pStyle w:val="58"/>
        <w:ind w:firstLine="420"/>
      </w:pPr>
    </w:p>
    <w:p>
      <w:pPr>
        <w:pStyle w:val="225"/>
        <w:ind w:left="420" w:hanging="420" w:hangingChars="200"/>
        <w:rPr>
          <w:rFonts w:ascii="黑体" w:hAnsi="黑体" w:eastAsia="黑体"/>
        </w:rPr>
      </w:pPr>
    </w:p>
    <w:p>
      <w:pPr>
        <w:pStyle w:val="225"/>
        <w:numPr>
          <w:ilvl w:val="2"/>
          <w:numId w:val="0"/>
        </w:numPr>
        <w:ind w:left="-420" w:leftChars="-200" w:firstLine="840" w:firstLineChars="400"/>
        <w:rPr>
          <w:rFonts w:ascii="黑体" w:hAnsi="黑体" w:eastAsia="黑体"/>
        </w:rPr>
      </w:pPr>
      <w:r>
        <w:rPr>
          <w:rFonts w:hint="eastAsia" w:ascii="黑体" w:hAnsi="黑体" w:eastAsia="黑体"/>
        </w:rPr>
        <w:t>植物性水产品预制菜  botanical aquatic products prepared dishes</w:t>
      </w:r>
    </w:p>
    <w:p>
      <w:pPr>
        <w:pStyle w:val="58"/>
        <w:ind w:firstLine="420"/>
      </w:pPr>
      <w:r>
        <w:rPr>
          <w:rFonts w:hint="eastAsia"/>
        </w:rPr>
        <w:t>以藻类等水产植物及其制品为主要原料制成的预制菜。</w:t>
      </w:r>
    </w:p>
    <w:p>
      <w:pPr>
        <w:pStyle w:val="58"/>
        <w:ind w:firstLine="420"/>
      </w:pPr>
    </w:p>
    <w:p>
      <w:pPr>
        <w:pStyle w:val="225"/>
        <w:ind w:left="420" w:hanging="420" w:hangingChars="200"/>
        <w:rPr>
          <w:rFonts w:ascii="黑体" w:hAnsi="黑体" w:eastAsia="黑体"/>
        </w:rPr>
      </w:pPr>
    </w:p>
    <w:p>
      <w:pPr>
        <w:pStyle w:val="225"/>
        <w:numPr>
          <w:ilvl w:val="2"/>
          <w:numId w:val="0"/>
        </w:numPr>
        <w:ind w:left="-420" w:leftChars="-200" w:firstLine="840"/>
        <w:rPr>
          <w:rFonts w:ascii="黑体" w:hAnsi="黑体" w:eastAsia="黑体"/>
        </w:rPr>
      </w:pPr>
      <w:r>
        <w:rPr>
          <w:rFonts w:hint="eastAsia" w:ascii="黑体" w:hAnsi="黑体" w:eastAsia="黑体"/>
        </w:rPr>
        <w:t>生制水产品预制菜 raw aquatic products prepared dishes</w:t>
      </w:r>
    </w:p>
    <w:p>
      <w:pPr>
        <w:pStyle w:val="58"/>
        <w:ind w:firstLine="420"/>
      </w:pPr>
      <w:r>
        <w:rPr>
          <w:rFonts w:hint="eastAsia"/>
        </w:rPr>
        <w:t>以水产品为原料，经腌制、干制、调制、上浆挂糊等工艺加工制成的可直接用于烹饪的预制菜。</w:t>
      </w:r>
    </w:p>
    <w:p>
      <w:pPr>
        <w:pStyle w:val="225"/>
        <w:ind w:left="420" w:hanging="420" w:hangingChars="200"/>
        <w:rPr>
          <w:rFonts w:ascii="黑体" w:hAnsi="黑体" w:eastAsia="黑体"/>
        </w:rPr>
      </w:pPr>
    </w:p>
    <w:p>
      <w:pPr>
        <w:pStyle w:val="225"/>
        <w:numPr>
          <w:ilvl w:val="2"/>
          <w:numId w:val="0"/>
        </w:numPr>
        <w:ind w:left="-420" w:leftChars="-200" w:firstLine="840"/>
        <w:rPr>
          <w:rFonts w:ascii="黑体" w:hAnsi="黑体" w:eastAsia="黑体"/>
        </w:rPr>
      </w:pPr>
      <w:r>
        <w:rPr>
          <w:rFonts w:hint="eastAsia" w:ascii="黑体" w:hAnsi="黑体" w:eastAsia="黑体"/>
        </w:rPr>
        <w:t>熟制水产品预制菜 cooked aquatic products  prepared dishes</w:t>
      </w:r>
    </w:p>
    <w:p>
      <w:pPr>
        <w:pStyle w:val="58"/>
        <w:ind w:firstLine="420"/>
      </w:pPr>
      <w:r>
        <w:rPr>
          <w:rFonts w:hint="eastAsia"/>
        </w:rPr>
        <w:t>已完成烹饪或经杀菌的达到食用熟度的水产品预制菜，食用前需加热至最佳食用温度。</w:t>
      </w:r>
    </w:p>
    <w:p>
      <w:pPr>
        <w:pStyle w:val="106"/>
        <w:spacing w:before="312" w:after="312"/>
      </w:pPr>
      <w:r>
        <w:rPr>
          <w:rFonts w:hint="eastAsia"/>
        </w:rPr>
        <w:t>分类</w:t>
      </w:r>
    </w:p>
    <w:p>
      <w:pPr>
        <w:pStyle w:val="164"/>
      </w:pPr>
      <w:r>
        <w:rPr>
          <w:rFonts w:hint="eastAsia"/>
        </w:rPr>
        <w:t>根据食用方式分为：</w:t>
      </w:r>
    </w:p>
    <w:p>
      <w:pPr>
        <w:pStyle w:val="134"/>
      </w:pPr>
      <w:r>
        <w:rPr>
          <w:rFonts w:hint="eastAsia"/>
        </w:rPr>
        <w:t>即食水产品预制菜；</w:t>
      </w:r>
    </w:p>
    <w:p>
      <w:pPr>
        <w:pStyle w:val="134"/>
      </w:pPr>
      <w:r>
        <w:rPr>
          <w:rFonts w:hint="eastAsia"/>
        </w:rPr>
        <w:t>即热水产品预制菜；</w:t>
      </w:r>
    </w:p>
    <w:p>
      <w:pPr>
        <w:pStyle w:val="134"/>
      </w:pPr>
      <w:r>
        <w:rPr>
          <w:rFonts w:hint="eastAsia"/>
        </w:rPr>
        <w:t>即烹水产品预制菜。</w:t>
      </w:r>
    </w:p>
    <w:p>
      <w:pPr>
        <w:pStyle w:val="164"/>
      </w:pPr>
      <w:r>
        <w:rPr>
          <w:rFonts w:hint="eastAsia"/>
        </w:rPr>
        <w:t>根据贮运方式分为：</w:t>
      </w:r>
    </w:p>
    <w:p>
      <w:pPr>
        <w:pStyle w:val="134"/>
      </w:pPr>
      <w:r>
        <w:rPr>
          <w:rFonts w:hint="eastAsia"/>
        </w:rPr>
        <w:t>常温贮运水产品预制菜；</w:t>
      </w:r>
    </w:p>
    <w:p>
      <w:pPr>
        <w:pStyle w:val="134"/>
      </w:pPr>
      <w:r>
        <w:rPr>
          <w:rFonts w:hint="eastAsia"/>
        </w:rPr>
        <w:t>冷藏贮运水产品预制菜；</w:t>
      </w:r>
    </w:p>
    <w:p>
      <w:pPr>
        <w:pStyle w:val="134"/>
      </w:pPr>
      <w:r>
        <w:rPr>
          <w:rFonts w:hint="eastAsia"/>
        </w:rPr>
        <w:t>冻藏贮运水产品预制菜。</w:t>
      </w:r>
    </w:p>
    <w:p>
      <w:pPr>
        <w:pStyle w:val="164"/>
      </w:pPr>
      <w:r>
        <w:rPr>
          <w:rFonts w:hint="eastAsia"/>
        </w:rPr>
        <w:t xml:space="preserve">根据加工原料分为： </w:t>
      </w:r>
    </w:p>
    <w:p>
      <w:pPr>
        <w:pStyle w:val="134"/>
      </w:pPr>
      <w:r>
        <w:rPr>
          <w:rFonts w:hint="eastAsia"/>
        </w:rPr>
        <w:t>动物性</w:t>
      </w:r>
      <w:r>
        <w:t>水产品预制菜</w:t>
      </w:r>
      <w:r>
        <w:rPr>
          <w:rFonts w:hint="eastAsia"/>
        </w:rPr>
        <w:t>；</w:t>
      </w:r>
    </w:p>
    <w:p>
      <w:pPr>
        <w:pStyle w:val="134"/>
      </w:pPr>
      <w:r>
        <w:rPr>
          <w:rFonts w:hint="eastAsia"/>
        </w:rPr>
        <w:t>植物性</w:t>
      </w:r>
      <w:r>
        <w:t>水产品预制菜</w:t>
      </w:r>
      <w:r>
        <w:rPr>
          <w:rFonts w:hint="eastAsia"/>
        </w:rPr>
        <w:t>。</w:t>
      </w:r>
    </w:p>
    <w:p>
      <w:pPr>
        <w:pStyle w:val="164"/>
      </w:pPr>
      <w:r>
        <w:rPr>
          <w:rFonts w:hint="eastAsia"/>
        </w:rPr>
        <w:t>根据加工方式分为：</w:t>
      </w:r>
    </w:p>
    <w:p>
      <w:pPr>
        <w:pStyle w:val="134"/>
      </w:pPr>
      <w:r>
        <w:rPr>
          <w:rFonts w:hint="eastAsia"/>
        </w:rPr>
        <w:t>生制水产品预制菜；</w:t>
      </w:r>
    </w:p>
    <w:p>
      <w:pPr>
        <w:pStyle w:val="134"/>
      </w:pPr>
      <w:r>
        <w:rPr>
          <w:rFonts w:hint="eastAsia"/>
        </w:rPr>
        <w:t>熟制水产品预制菜。</w:t>
      </w:r>
    </w:p>
    <w:p>
      <w:pPr>
        <w:pStyle w:val="107"/>
        <w:spacing w:beforeLines="0" w:afterLines="0"/>
      </w:pPr>
      <w:r>
        <w:rPr>
          <w:rFonts w:hint="eastAsia"/>
        </w:rPr>
        <w:t>原辅料</w:t>
      </w:r>
    </w:p>
    <w:p>
      <w:pPr>
        <w:pStyle w:val="107"/>
        <w:numPr>
          <w:ilvl w:val="3"/>
          <w:numId w:val="2"/>
        </w:numPr>
        <w:spacing w:beforeLines="0" w:afterLines="0"/>
      </w:pPr>
      <w:r>
        <w:rPr>
          <w:rFonts w:hint="eastAsia"/>
        </w:rPr>
        <w:t>水产品</w:t>
      </w:r>
    </w:p>
    <w:p>
      <w:pPr>
        <w:pStyle w:val="233"/>
        <w:rPr>
          <w:rFonts w:hAnsi="Times New Roman"/>
          <w:color w:val="0000FF"/>
          <w:sz w:val="21"/>
          <w:szCs w:val="21"/>
        </w:rPr>
      </w:pPr>
      <w:r>
        <w:rPr>
          <w:rFonts w:hint="eastAsia" w:hAnsi="Times New Roman"/>
          <w:sz w:val="21"/>
          <w:szCs w:val="21"/>
        </w:rPr>
        <w:t>水产品原料应符合GB 10136、GB</w:t>
      </w:r>
      <w:r>
        <w:rPr>
          <w:rFonts w:hAnsi="Times New Roman"/>
          <w:sz w:val="21"/>
          <w:szCs w:val="21"/>
        </w:rPr>
        <w:t xml:space="preserve"> </w:t>
      </w:r>
      <w:r>
        <w:rPr>
          <w:rFonts w:hint="eastAsia" w:hAnsi="Times New Roman"/>
          <w:sz w:val="21"/>
          <w:szCs w:val="21"/>
        </w:rPr>
        <w:t>2733及相关标准的规定，藻类原料应符合GB 19643的规定。</w:t>
      </w:r>
    </w:p>
    <w:p>
      <w:pPr>
        <w:pStyle w:val="107"/>
        <w:numPr>
          <w:ilvl w:val="3"/>
          <w:numId w:val="2"/>
        </w:numPr>
        <w:spacing w:beforeLines="0" w:afterLines="0"/>
      </w:pPr>
      <w:r>
        <w:rPr>
          <w:rFonts w:hint="eastAsia"/>
        </w:rPr>
        <w:t>用水</w:t>
      </w:r>
    </w:p>
    <w:p>
      <w:pPr>
        <w:pStyle w:val="233"/>
        <w:ind w:firstLine="420"/>
        <w:rPr>
          <w:rFonts w:hAnsi="Times New Roman"/>
          <w:sz w:val="21"/>
          <w:szCs w:val="21"/>
        </w:rPr>
      </w:pPr>
      <w:r>
        <w:rPr>
          <w:rFonts w:hint="eastAsia" w:hAnsi="Times New Roman"/>
          <w:sz w:val="21"/>
          <w:szCs w:val="21"/>
        </w:rPr>
        <w:t>应符合GB 5749的规定。</w:t>
      </w:r>
    </w:p>
    <w:p>
      <w:pPr>
        <w:pStyle w:val="107"/>
        <w:numPr>
          <w:ilvl w:val="3"/>
          <w:numId w:val="2"/>
        </w:numPr>
        <w:spacing w:beforeLines="0" w:afterLines="0"/>
        <w:rPr>
          <w:rFonts w:ascii="宋体" w:eastAsia="宋体"/>
        </w:rPr>
      </w:pPr>
      <w:r>
        <w:rPr>
          <w:rFonts w:hint="eastAsia"/>
        </w:rPr>
        <w:t>调料包</w:t>
      </w:r>
    </w:p>
    <w:p>
      <w:pPr>
        <w:pStyle w:val="233"/>
        <w:ind w:firstLine="420"/>
        <w:rPr>
          <w:rFonts w:hAnsi="Times New Roman"/>
          <w:sz w:val="21"/>
          <w:szCs w:val="21"/>
        </w:rPr>
      </w:pPr>
      <w:r>
        <w:rPr>
          <w:rFonts w:hint="eastAsia" w:hAnsi="Times New Roman"/>
          <w:sz w:val="21"/>
          <w:szCs w:val="21"/>
        </w:rPr>
        <w:t>复合调味料应符合GB 31644的规定。水产调味品应符合GB 10133的规定。植物性香辛料应符合GB/T 15691的标准的规定。</w:t>
      </w:r>
    </w:p>
    <w:p>
      <w:pPr>
        <w:pStyle w:val="107"/>
        <w:numPr>
          <w:ilvl w:val="3"/>
          <w:numId w:val="2"/>
        </w:numPr>
        <w:spacing w:beforeLines="0" w:afterLines="0"/>
      </w:pPr>
      <w:r>
        <w:rPr>
          <w:rFonts w:hint="eastAsia"/>
        </w:rPr>
        <w:t>其他原辅料</w:t>
      </w:r>
    </w:p>
    <w:p>
      <w:pPr>
        <w:pStyle w:val="233"/>
        <w:ind w:firstLine="420"/>
        <w:rPr>
          <w:rFonts w:hAnsi="Times New Roman"/>
          <w:sz w:val="21"/>
          <w:szCs w:val="21"/>
        </w:rPr>
      </w:pPr>
      <w:r>
        <w:rPr>
          <w:rFonts w:hint="eastAsia" w:hAnsi="Times New Roman"/>
          <w:sz w:val="21"/>
          <w:szCs w:val="21"/>
        </w:rPr>
        <w:t>其他原辅料应符合相应法律法规及食品安全标准的规定。</w:t>
      </w:r>
    </w:p>
    <w:p>
      <w:pPr>
        <w:pStyle w:val="106"/>
        <w:spacing w:before="312" w:after="312"/>
        <w:rPr>
          <w:szCs w:val="21"/>
        </w:rPr>
      </w:pPr>
      <w:r>
        <w:rPr>
          <w:rFonts w:hint="eastAsia"/>
          <w:szCs w:val="21"/>
        </w:rPr>
        <w:t>加工要求</w:t>
      </w:r>
    </w:p>
    <w:p>
      <w:pPr>
        <w:pStyle w:val="233"/>
        <w:ind w:firstLine="420"/>
        <w:rPr>
          <w:rFonts w:hAnsi="Times New Roman"/>
          <w:sz w:val="21"/>
          <w:szCs w:val="21"/>
        </w:rPr>
      </w:pPr>
      <w:r>
        <w:rPr>
          <w:rFonts w:hint="eastAsia" w:hAnsi="Times New Roman"/>
          <w:sz w:val="21"/>
          <w:szCs w:val="21"/>
        </w:rPr>
        <w:t>生产人员、环境、车间及设施、生产设备及卫生控制程序应符合GB 20941的规定。中央厨房加工操作应符合GB 31654的规定。</w:t>
      </w:r>
    </w:p>
    <w:p>
      <w:pPr>
        <w:pStyle w:val="106"/>
        <w:spacing w:before="312" w:after="312"/>
      </w:pPr>
      <w:r>
        <w:rPr>
          <w:rFonts w:hint="eastAsia"/>
        </w:rPr>
        <w:t>质量要求</w:t>
      </w:r>
    </w:p>
    <w:p>
      <w:pPr>
        <w:pStyle w:val="107"/>
        <w:spacing w:before="156" w:after="156"/>
      </w:pPr>
      <w:r>
        <w:rPr>
          <w:rFonts w:hint="eastAsia"/>
        </w:rPr>
        <w:t>感官要求</w:t>
      </w:r>
    </w:p>
    <w:p>
      <w:pPr>
        <w:pStyle w:val="233"/>
        <w:spacing w:before="0" w:after="0"/>
        <w:ind w:firstLine="420"/>
        <w:rPr>
          <w:rFonts w:hAnsi="Times New Roman"/>
          <w:sz w:val="21"/>
          <w:szCs w:val="21"/>
        </w:rPr>
      </w:pPr>
      <w:r>
        <w:rPr>
          <w:rFonts w:hint="eastAsia" w:hAnsi="Times New Roman"/>
          <w:sz w:val="21"/>
          <w:szCs w:val="21"/>
        </w:rPr>
        <w:t>应符合表1的规定。</w:t>
      </w:r>
    </w:p>
    <w:p>
      <w:pPr>
        <w:pStyle w:val="114"/>
        <w:spacing w:before="156" w:after="156"/>
      </w:pPr>
      <w:r>
        <w:rPr>
          <w:rFonts w:hint="eastAsia"/>
        </w:rPr>
        <w:t>感官要求</w:t>
      </w:r>
    </w:p>
    <w:tbl>
      <w:tblPr>
        <w:tblStyle w:val="2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4816"/>
        <w:gridCol w:w="3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60" w:type="pct"/>
            <w:vAlign w:val="center"/>
          </w:tcPr>
          <w:p>
            <w:pPr>
              <w:jc w:val="center"/>
              <w:rPr>
                <w:rFonts w:ascii="黑体" w:eastAsia="黑体"/>
                <w:sz w:val="18"/>
                <w:szCs w:val="18"/>
              </w:rPr>
            </w:pPr>
            <w:r>
              <w:rPr>
                <w:rFonts w:hint="eastAsia" w:ascii="黑体" w:eastAsia="黑体"/>
                <w:sz w:val="18"/>
                <w:szCs w:val="18"/>
              </w:rPr>
              <w:t>项  目</w:t>
            </w:r>
          </w:p>
        </w:tc>
        <w:tc>
          <w:tcPr>
            <w:tcW w:w="2518" w:type="pct"/>
            <w:vAlign w:val="center"/>
          </w:tcPr>
          <w:p>
            <w:pPr>
              <w:jc w:val="center"/>
              <w:rPr>
                <w:rFonts w:ascii="黑体" w:eastAsia="黑体"/>
                <w:sz w:val="18"/>
                <w:szCs w:val="18"/>
              </w:rPr>
            </w:pPr>
            <w:r>
              <w:rPr>
                <w:rFonts w:hint="eastAsia" w:ascii="黑体" w:eastAsia="黑体"/>
                <w:sz w:val="18"/>
                <w:szCs w:val="18"/>
              </w:rPr>
              <w:t>要  求</w:t>
            </w:r>
          </w:p>
        </w:tc>
        <w:tc>
          <w:tcPr>
            <w:tcW w:w="1720" w:type="pct"/>
            <w:vAlign w:val="center"/>
          </w:tcPr>
          <w:p>
            <w:pPr>
              <w:jc w:val="center"/>
              <w:rPr>
                <w:rFonts w:ascii="黑体" w:eastAsia="黑体"/>
                <w:sz w:val="18"/>
                <w:szCs w:val="18"/>
              </w:rPr>
            </w:pPr>
            <w:r>
              <w:rPr>
                <w:rFonts w:hint="eastAsia"/>
              </w:rPr>
              <w:t xml:space="preserve">检验方法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60" w:type="pct"/>
            <w:vAlign w:val="center"/>
          </w:tcPr>
          <w:p>
            <w:pPr>
              <w:jc w:val="center"/>
              <w:rPr>
                <w:rFonts w:ascii="宋体" w:hAnsi="宋体"/>
                <w:sz w:val="18"/>
                <w:szCs w:val="18"/>
              </w:rPr>
            </w:pPr>
            <w:r>
              <w:rPr>
                <w:rFonts w:hint="eastAsia" w:ascii="宋体" w:hAnsi="宋体"/>
                <w:sz w:val="18"/>
                <w:szCs w:val="18"/>
              </w:rPr>
              <w:t>外观</w:t>
            </w:r>
            <w:r>
              <w:rPr>
                <w:rFonts w:hint="eastAsia" w:ascii="宋体" w:hAnsi="宋体"/>
                <w:sz w:val="18"/>
                <w:szCs w:val="18"/>
              </w:rPr>
              <w:tab/>
            </w:r>
          </w:p>
        </w:tc>
        <w:tc>
          <w:tcPr>
            <w:tcW w:w="2518" w:type="pct"/>
            <w:vAlign w:val="center"/>
          </w:tcPr>
          <w:p>
            <w:pPr>
              <w:rPr>
                <w:sz w:val="18"/>
                <w:szCs w:val="18"/>
              </w:rPr>
            </w:pPr>
            <w:r>
              <w:rPr>
                <w:rFonts w:hint="eastAsia" w:ascii="宋体" w:hAnsi="宋体"/>
                <w:sz w:val="18"/>
                <w:szCs w:val="18"/>
              </w:rPr>
              <w:t>具有该产品应有的外观形态，包装完整，无明显变形、残缺或破损，冷冻产品无解冻软化</w:t>
            </w:r>
          </w:p>
        </w:tc>
        <w:tc>
          <w:tcPr>
            <w:tcW w:w="1720" w:type="pct"/>
            <w:vMerge w:val="restart"/>
            <w:vAlign w:val="center"/>
          </w:tcPr>
          <w:p>
            <w:pPr>
              <w:rPr>
                <w:rFonts w:ascii="宋体" w:hAnsi="宋体"/>
                <w:sz w:val="18"/>
                <w:szCs w:val="18"/>
              </w:rPr>
            </w:pPr>
            <w:r>
              <w:rPr>
                <w:rFonts w:hint="eastAsia" w:ascii="宋体" w:hAnsi="宋体"/>
                <w:sz w:val="18"/>
                <w:szCs w:val="18"/>
              </w:rPr>
              <w:t>在光线充足、洁净无异味的环境中，打开产品包装，沥去汤汁后，将固形物倒在白色搪瓷盘中，按规定逐项检验。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60" w:type="pct"/>
            <w:vAlign w:val="center"/>
          </w:tcPr>
          <w:p>
            <w:pPr>
              <w:jc w:val="center"/>
              <w:rPr>
                <w:rFonts w:ascii="宋体" w:hAnsi="宋体"/>
                <w:sz w:val="18"/>
                <w:szCs w:val="18"/>
              </w:rPr>
            </w:pPr>
            <w:r>
              <w:rPr>
                <w:rFonts w:hint="eastAsia" w:ascii="宋体" w:hAnsi="宋体"/>
                <w:sz w:val="18"/>
                <w:szCs w:val="18"/>
              </w:rPr>
              <w:t>色泽</w:t>
            </w:r>
          </w:p>
        </w:tc>
        <w:tc>
          <w:tcPr>
            <w:tcW w:w="2518" w:type="pct"/>
          </w:tcPr>
          <w:p>
            <w:pPr>
              <w:rPr>
                <w:rFonts w:ascii="宋体" w:hAnsi="宋体"/>
                <w:sz w:val="18"/>
                <w:szCs w:val="18"/>
              </w:rPr>
            </w:pPr>
            <w:r>
              <w:rPr>
                <w:rFonts w:hint="eastAsia" w:ascii="宋体" w:hAnsi="宋体"/>
                <w:sz w:val="18"/>
                <w:szCs w:val="18"/>
              </w:rPr>
              <w:t>具有该产品应有的色泽</w:t>
            </w:r>
          </w:p>
        </w:tc>
        <w:tc>
          <w:tcPr>
            <w:tcW w:w="1720" w:type="pct"/>
            <w:vMerge w:val="continue"/>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60" w:type="pct"/>
            <w:vAlign w:val="center"/>
          </w:tcPr>
          <w:p>
            <w:pPr>
              <w:jc w:val="center"/>
              <w:rPr>
                <w:sz w:val="18"/>
                <w:szCs w:val="18"/>
              </w:rPr>
            </w:pPr>
            <w:r>
              <w:rPr>
                <w:rFonts w:hint="eastAsia"/>
                <w:sz w:val="18"/>
                <w:szCs w:val="18"/>
              </w:rPr>
              <w:t>组织及形态</w:t>
            </w:r>
          </w:p>
        </w:tc>
        <w:tc>
          <w:tcPr>
            <w:tcW w:w="2518" w:type="pct"/>
          </w:tcPr>
          <w:p>
            <w:pPr>
              <w:rPr>
                <w:rFonts w:ascii="宋体" w:hAnsi="宋体"/>
                <w:sz w:val="18"/>
                <w:szCs w:val="18"/>
              </w:rPr>
            </w:pPr>
            <w:r>
              <w:rPr>
                <w:rFonts w:hint="eastAsia" w:ascii="宋体" w:hAnsi="宋体"/>
                <w:sz w:val="18"/>
                <w:szCs w:val="18"/>
              </w:rPr>
              <w:t>具有该产品应有的组织形态，无霉变</w:t>
            </w:r>
          </w:p>
        </w:tc>
        <w:tc>
          <w:tcPr>
            <w:tcW w:w="1720" w:type="pct"/>
            <w:vMerge w:val="continue"/>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60" w:type="pct"/>
            <w:vAlign w:val="center"/>
          </w:tcPr>
          <w:p>
            <w:pPr>
              <w:jc w:val="center"/>
              <w:rPr>
                <w:sz w:val="18"/>
                <w:szCs w:val="18"/>
              </w:rPr>
            </w:pPr>
            <w:r>
              <w:rPr>
                <w:rFonts w:hint="eastAsia"/>
                <w:sz w:val="18"/>
                <w:szCs w:val="18"/>
              </w:rPr>
              <w:t>气味和滋味</w:t>
            </w:r>
          </w:p>
        </w:tc>
        <w:tc>
          <w:tcPr>
            <w:tcW w:w="2518" w:type="pct"/>
            <w:vAlign w:val="center"/>
          </w:tcPr>
          <w:p>
            <w:pPr>
              <w:rPr>
                <w:rFonts w:ascii="宋体" w:hAnsi="宋体"/>
                <w:sz w:val="18"/>
                <w:szCs w:val="18"/>
              </w:rPr>
            </w:pPr>
            <w:r>
              <w:rPr>
                <w:rFonts w:hint="eastAsia" w:ascii="宋体" w:hAnsi="宋体"/>
                <w:sz w:val="18"/>
                <w:szCs w:val="18"/>
              </w:rPr>
              <w:t>具有该产品固有的气味及滋味，无异味、无酸败味</w:t>
            </w:r>
          </w:p>
        </w:tc>
        <w:tc>
          <w:tcPr>
            <w:tcW w:w="1720" w:type="pct"/>
            <w:vMerge w:val="continue"/>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60" w:type="pct"/>
            <w:vAlign w:val="center"/>
          </w:tcPr>
          <w:p>
            <w:pPr>
              <w:jc w:val="center"/>
              <w:rPr>
                <w:sz w:val="18"/>
                <w:szCs w:val="18"/>
              </w:rPr>
            </w:pPr>
            <w:r>
              <w:rPr>
                <w:rFonts w:hint="eastAsia"/>
                <w:sz w:val="18"/>
                <w:szCs w:val="18"/>
              </w:rPr>
              <w:t>杂质</w:t>
            </w:r>
          </w:p>
        </w:tc>
        <w:tc>
          <w:tcPr>
            <w:tcW w:w="2518" w:type="pct"/>
            <w:vAlign w:val="center"/>
          </w:tcPr>
          <w:p>
            <w:pPr>
              <w:rPr>
                <w:rFonts w:ascii="宋体" w:hAnsi="宋体"/>
                <w:sz w:val="18"/>
                <w:szCs w:val="18"/>
              </w:rPr>
            </w:pPr>
            <w:r>
              <w:rPr>
                <w:rFonts w:hint="eastAsia" w:ascii="宋体" w:hAnsi="宋体"/>
                <w:sz w:val="18"/>
                <w:szCs w:val="18"/>
              </w:rPr>
              <w:t>无正常视力可见外来杂质</w:t>
            </w:r>
          </w:p>
        </w:tc>
        <w:tc>
          <w:tcPr>
            <w:tcW w:w="1720" w:type="pct"/>
            <w:vMerge w:val="continue"/>
            <w:vAlign w:val="center"/>
          </w:tcPr>
          <w:p>
            <w:pPr>
              <w:rPr>
                <w:rFonts w:ascii="宋体" w:hAnsi="宋体"/>
                <w:sz w:val="18"/>
                <w:szCs w:val="18"/>
              </w:rPr>
            </w:pPr>
          </w:p>
        </w:tc>
      </w:tr>
    </w:tbl>
    <w:p>
      <w:pPr>
        <w:pStyle w:val="58"/>
        <w:ind w:firstLine="420"/>
      </w:pPr>
    </w:p>
    <w:p>
      <w:pPr>
        <w:pStyle w:val="107"/>
        <w:spacing w:before="156" w:after="156"/>
        <w:rPr>
          <w:strike/>
          <w:color w:val="FF0000"/>
        </w:rPr>
      </w:pPr>
      <w:r>
        <w:rPr>
          <w:rFonts w:hint="eastAsia"/>
          <w:color w:val="000000" w:themeColor="text1"/>
          <w14:textFill>
            <w14:solidFill>
              <w14:schemeClr w14:val="tx1"/>
            </w14:solidFill>
          </w14:textFill>
        </w:rPr>
        <w:t>理化指标</w:t>
      </w:r>
    </w:p>
    <w:p>
      <w:pPr>
        <w:pStyle w:val="233"/>
        <w:rPr>
          <w:color w:val="FF0000"/>
          <w:sz w:val="21"/>
          <w:szCs w:val="21"/>
        </w:rPr>
      </w:pPr>
      <w:r>
        <w:rPr>
          <w:rFonts w:hint="eastAsia" w:hAnsi="Times New Roman"/>
          <w:sz w:val="21"/>
          <w:szCs w:val="21"/>
        </w:rPr>
        <w:t>应符合相应产品执行标准的规定。</w:t>
      </w:r>
    </w:p>
    <w:p>
      <w:pPr>
        <w:pStyle w:val="107"/>
        <w:spacing w:before="156" w:after="156"/>
      </w:pPr>
      <w:r>
        <w:rPr>
          <w:rFonts w:hint="eastAsia"/>
        </w:rPr>
        <w:t>安全指标</w:t>
      </w:r>
    </w:p>
    <w:p>
      <w:pPr>
        <w:pStyle w:val="67"/>
        <w:spacing w:before="156" w:after="156"/>
      </w:pPr>
      <w:r>
        <w:rPr>
          <w:rFonts w:hint="eastAsia"/>
        </w:rPr>
        <w:t>污染物指标</w:t>
      </w:r>
    </w:p>
    <w:p>
      <w:pPr>
        <w:pStyle w:val="233"/>
        <w:rPr>
          <w:rFonts w:hAnsi="Times New Roman"/>
          <w:sz w:val="21"/>
          <w:szCs w:val="21"/>
        </w:rPr>
      </w:pPr>
      <w:r>
        <w:rPr>
          <w:rFonts w:hint="eastAsia" w:hAnsi="Times New Roman"/>
          <w:sz w:val="21"/>
          <w:szCs w:val="21"/>
        </w:rPr>
        <w:t>应符合GB 2762的规定。</w:t>
      </w:r>
    </w:p>
    <w:p>
      <w:pPr>
        <w:pStyle w:val="67"/>
        <w:spacing w:before="156" w:after="156"/>
      </w:pPr>
      <w:r>
        <w:rPr>
          <w:rFonts w:hint="eastAsia"/>
        </w:rPr>
        <w:t>农药残留限量和兽药残留限量</w:t>
      </w:r>
    </w:p>
    <w:p>
      <w:pPr>
        <w:pStyle w:val="233"/>
        <w:ind w:firstLine="420"/>
        <w:rPr>
          <w:rFonts w:hAnsi="Times New Roman"/>
          <w:sz w:val="21"/>
          <w:szCs w:val="21"/>
        </w:rPr>
      </w:pPr>
      <w:r>
        <w:rPr>
          <w:rFonts w:hint="eastAsia" w:hAnsi="Times New Roman"/>
          <w:sz w:val="21"/>
          <w:szCs w:val="21"/>
        </w:rPr>
        <w:t>动物性水产品预制菜的农药残留限量和兽药残留限量应符合GB 10136的规定。</w:t>
      </w:r>
    </w:p>
    <w:p>
      <w:pPr>
        <w:pStyle w:val="67"/>
        <w:spacing w:before="156" w:after="156"/>
      </w:pPr>
      <w:r>
        <w:rPr>
          <w:rFonts w:hint="eastAsia"/>
        </w:rPr>
        <w:t>微生物限量</w:t>
      </w:r>
    </w:p>
    <w:p>
      <w:pPr>
        <w:pStyle w:val="233"/>
        <w:ind w:firstLine="420"/>
        <w:rPr>
          <w:rFonts w:hAnsi="Times New Roman"/>
          <w:sz w:val="21"/>
          <w:szCs w:val="21"/>
        </w:rPr>
      </w:pPr>
      <w:r>
        <w:rPr>
          <w:rFonts w:hint="eastAsia" w:hAnsi="Times New Roman"/>
          <w:sz w:val="21"/>
          <w:szCs w:val="21"/>
        </w:rPr>
        <w:t>即食水产品预制菜的微生物限量应符合GB 10136的规定，即食植物性水产品预制菜微生物指标应符合GB 19643的规定。预制菜有多个产品类别组成，每个产品类别的致病菌限量均应符合GB 29921的规定。罐头类水产品预制菜微生物指标应符合GB 7098要求。</w:t>
      </w:r>
    </w:p>
    <w:p>
      <w:pPr>
        <w:pStyle w:val="67"/>
        <w:spacing w:before="156" w:after="156"/>
      </w:pPr>
      <w:r>
        <w:t>寄生虫指标</w:t>
      </w:r>
    </w:p>
    <w:p>
      <w:pPr>
        <w:pStyle w:val="233"/>
        <w:ind w:firstLine="420"/>
        <w:rPr>
          <w:rFonts w:hAnsi="Times New Roman"/>
          <w:sz w:val="21"/>
          <w:szCs w:val="21"/>
        </w:rPr>
      </w:pPr>
      <w:r>
        <w:rPr>
          <w:rFonts w:hint="eastAsia" w:hAnsi="Times New Roman"/>
          <w:sz w:val="21"/>
          <w:szCs w:val="21"/>
        </w:rPr>
        <w:t>即食动物性水产品预制菜的寄生虫限量应符合GB 10136的规定。</w:t>
      </w:r>
    </w:p>
    <w:p>
      <w:pPr>
        <w:pStyle w:val="67"/>
        <w:spacing w:before="156" w:after="156"/>
      </w:pPr>
      <w:r>
        <w:rPr>
          <w:rFonts w:hint="eastAsia"/>
        </w:rPr>
        <w:t xml:space="preserve">真菌毒素限量 </w:t>
      </w:r>
    </w:p>
    <w:p>
      <w:pPr>
        <w:pStyle w:val="233"/>
        <w:ind w:firstLine="420"/>
        <w:rPr>
          <w:rFonts w:hAnsi="Times New Roman"/>
          <w:sz w:val="21"/>
          <w:szCs w:val="21"/>
        </w:rPr>
      </w:pPr>
      <w:r>
        <w:rPr>
          <w:rFonts w:hint="eastAsia" w:hAnsi="Times New Roman"/>
          <w:sz w:val="21"/>
          <w:szCs w:val="21"/>
        </w:rPr>
        <w:t>应符合GB 2761中的相应规定。</w:t>
      </w:r>
    </w:p>
    <w:p>
      <w:pPr>
        <w:pStyle w:val="67"/>
        <w:spacing w:before="156" w:after="156"/>
      </w:pPr>
      <w:r>
        <w:t>食品添加剂</w:t>
      </w:r>
    </w:p>
    <w:p>
      <w:pPr>
        <w:pStyle w:val="233"/>
        <w:ind w:firstLine="420"/>
        <w:rPr>
          <w:rFonts w:hAnsi="Times New Roman"/>
          <w:sz w:val="21"/>
          <w:szCs w:val="21"/>
        </w:rPr>
      </w:pPr>
      <w:r>
        <w:rPr>
          <w:rFonts w:hAnsi="Times New Roman"/>
          <w:sz w:val="21"/>
          <w:szCs w:val="21"/>
        </w:rPr>
        <w:t>食品添加剂的使用应符合GB</w:t>
      </w:r>
      <w:r>
        <w:rPr>
          <w:rFonts w:hAnsi="Times New Roman"/>
          <w:sz w:val="21"/>
          <w:szCs w:val="21"/>
        </w:rPr>
        <w:t xml:space="preserve"> </w:t>
      </w:r>
      <w:r>
        <w:rPr>
          <w:rFonts w:hAnsi="Times New Roman"/>
          <w:sz w:val="21"/>
          <w:szCs w:val="21"/>
        </w:rPr>
        <w:t>2760的规定。</w:t>
      </w:r>
    </w:p>
    <w:p>
      <w:pPr>
        <w:pStyle w:val="107"/>
        <w:spacing w:before="156" w:after="156"/>
      </w:pPr>
      <w:r>
        <w:rPr>
          <w:rFonts w:hint="eastAsia"/>
        </w:rPr>
        <w:t xml:space="preserve">净含量 </w:t>
      </w:r>
    </w:p>
    <w:p>
      <w:pPr>
        <w:pStyle w:val="233"/>
        <w:widowControl/>
        <w:autoSpaceDE w:val="0"/>
        <w:autoSpaceDN w:val="0"/>
        <w:ind w:firstLine="420" w:firstLineChars="200"/>
        <w:rPr>
          <w:rFonts w:ascii="宋体" w:hAnsi="Times New Roman"/>
          <w:kern w:val="0"/>
          <w:sz w:val="21"/>
          <w:szCs w:val="21"/>
        </w:rPr>
      </w:pPr>
      <w:r>
        <w:rPr>
          <w:rFonts w:hint="eastAsia" w:ascii="宋体" w:hAnsi="Times New Roman"/>
          <w:kern w:val="0"/>
          <w:sz w:val="21"/>
          <w:szCs w:val="21"/>
        </w:rPr>
        <w:t>应符合JJF 1070的相关规定。</w:t>
      </w:r>
    </w:p>
    <w:p>
      <w:pPr>
        <w:pStyle w:val="106"/>
        <w:spacing w:before="312" w:after="312"/>
      </w:pPr>
      <w:r>
        <w:rPr>
          <w:rFonts w:hint="eastAsia"/>
        </w:rPr>
        <w:t>检验规则</w:t>
      </w:r>
    </w:p>
    <w:p>
      <w:pPr>
        <w:pStyle w:val="107"/>
        <w:spacing w:before="156" w:after="156"/>
      </w:pPr>
      <w:r>
        <w:rPr>
          <w:rFonts w:hint="eastAsia"/>
        </w:rPr>
        <w:t>组批</w:t>
      </w:r>
    </w:p>
    <w:p>
      <w:pPr>
        <w:pStyle w:val="233"/>
        <w:ind w:firstLine="420"/>
        <w:rPr>
          <w:rFonts w:hAnsi="Times New Roman"/>
          <w:sz w:val="21"/>
          <w:szCs w:val="21"/>
        </w:rPr>
      </w:pPr>
      <w:r>
        <w:rPr>
          <w:rFonts w:hint="eastAsia" w:hAnsi="Times New Roman"/>
          <w:sz w:val="21"/>
          <w:szCs w:val="21"/>
        </w:rPr>
        <w:t>在原料及生产条件基本相同的情况下，同一天或同一班组生产的产品为一批。</w:t>
      </w:r>
    </w:p>
    <w:p>
      <w:pPr>
        <w:pStyle w:val="107"/>
        <w:spacing w:before="156" w:after="156"/>
      </w:pPr>
      <w:r>
        <w:rPr>
          <w:rFonts w:hint="eastAsia"/>
        </w:rPr>
        <w:t>抽样</w:t>
      </w:r>
    </w:p>
    <w:p>
      <w:pPr>
        <w:pStyle w:val="233"/>
        <w:ind w:firstLine="420"/>
        <w:rPr>
          <w:rFonts w:hAnsi="Times New Roman"/>
          <w:sz w:val="21"/>
          <w:szCs w:val="21"/>
        </w:rPr>
      </w:pPr>
      <w:r>
        <w:rPr>
          <w:rFonts w:hint="eastAsia" w:hAnsi="Times New Roman"/>
          <w:sz w:val="21"/>
          <w:szCs w:val="21"/>
        </w:rPr>
        <w:t>按</w:t>
      </w:r>
      <w:r>
        <w:rPr>
          <w:rFonts w:hAnsi="Times New Roman"/>
          <w:sz w:val="21"/>
          <w:szCs w:val="21"/>
        </w:rPr>
        <w:t>GB/T 30891</w:t>
      </w:r>
      <w:r>
        <w:rPr>
          <w:rFonts w:hint="eastAsia" w:hAnsi="Times New Roman"/>
          <w:sz w:val="21"/>
          <w:szCs w:val="21"/>
        </w:rPr>
        <w:t>的规定执行。</w:t>
      </w:r>
    </w:p>
    <w:p>
      <w:pPr>
        <w:pStyle w:val="107"/>
        <w:spacing w:before="156" w:after="156"/>
      </w:pPr>
      <w:r>
        <w:rPr>
          <w:rFonts w:hint="eastAsia"/>
        </w:rPr>
        <w:t>检验分类</w:t>
      </w:r>
    </w:p>
    <w:p>
      <w:pPr>
        <w:pStyle w:val="67"/>
        <w:spacing w:before="156" w:after="156"/>
      </w:pPr>
      <w:r>
        <w:rPr>
          <w:rFonts w:hint="eastAsia"/>
        </w:rPr>
        <w:t>产品检验</w:t>
      </w:r>
    </w:p>
    <w:p>
      <w:pPr>
        <w:pStyle w:val="233"/>
        <w:ind w:firstLine="420"/>
        <w:rPr>
          <w:rFonts w:hAnsi="Times New Roman"/>
          <w:sz w:val="21"/>
          <w:szCs w:val="21"/>
        </w:rPr>
      </w:pPr>
      <w:r>
        <w:rPr>
          <w:rFonts w:hint="eastAsia" w:hAnsi="Times New Roman"/>
          <w:sz w:val="21"/>
          <w:szCs w:val="21"/>
        </w:rPr>
        <w:t>产品检验分为出厂检验和型式检验。</w:t>
      </w:r>
    </w:p>
    <w:p>
      <w:pPr>
        <w:pStyle w:val="67"/>
        <w:spacing w:before="156" w:after="156"/>
      </w:pPr>
      <w:r>
        <w:rPr>
          <w:rFonts w:hint="eastAsia"/>
        </w:rPr>
        <w:t>出厂检验</w:t>
      </w:r>
    </w:p>
    <w:p>
      <w:pPr>
        <w:pStyle w:val="233"/>
        <w:rPr>
          <w:rFonts w:hAnsi="Times New Roman"/>
          <w:sz w:val="21"/>
          <w:szCs w:val="21"/>
        </w:rPr>
      </w:pPr>
      <w:r>
        <w:rPr>
          <w:rFonts w:hint="eastAsia" w:hAnsi="Times New Roman"/>
          <w:sz w:val="21"/>
          <w:szCs w:val="21"/>
        </w:rPr>
        <w:t>每批产品必须进行出厂检验。出厂检验由生产单位质量检验部门执行，检验项目为感官、理化指标、净含量，即食类水产品预制菜还应检验微生物限量项目。</w:t>
      </w:r>
    </w:p>
    <w:p>
      <w:pPr>
        <w:pStyle w:val="67"/>
        <w:spacing w:before="156" w:after="156"/>
      </w:pPr>
      <w:r>
        <w:rPr>
          <w:rFonts w:hint="eastAsia"/>
        </w:rPr>
        <w:t>型式检验</w:t>
      </w:r>
    </w:p>
    <w:p>
      <w:pPr>
        <w:pStyle w:val="58"/>
        <w:ind w:firstLine="420"/>
      </w:pPr>
      <w:r>
        <w:rPr>
          <w:rFonts w:hint="eastAsia"/>
        </w:rPr>
        <w:t>型式检验项目为本文件中规定的全部项目。有下列情况之一时，应进行型式检验：</w:t>
      </w:r>
    </w:p>
    <w:p>
      <w:pPr>
        <w:pStyle w:val="176"/>
      </w:pPr>
      <w:r>
        <w:rPr>
          <w:rFonts w:hint="eastAsia"/>
        </w:rPr>
        <w:t>停产6个月</w:t>
      </w:r>
      <w:r>
        <w:t>以上</w:t>
      </w:r>
      <w:r>
        <w:rPr>
          <w:rFonts w:hint="eastAsia"/>
        </w:rPr>
        <w:t>，恢复生产时；</w:t>
      </w:r>
    </w:p>
    <w:p>
      <w:pPr>
        <w:pStyle w:val="176"/>
      </w:pPr>
      <w:r>
        <w:rPr>
          <w:rFonts w:hint="eastAsia"/>
        </w:rPr>
        <w:t>原料变化或改变主要生产工艺，可能影响产品质量时；</w:t>
      </w:r>
    </w:p>
    <w:p>
      <w:pPr>
        <w:pStyle w:val="176"/>
      </w:pPr>
      <w:r>
        <w:rPr>
          <w:rFonts w:hint="eastAsia"/>
        </w:rPr>
        <w:t>国家质量监督机构提出进行型式检验要求时；</w:t>
      </w:r>
    </w:p>
    <w:p>
      <w:pPr>
        <w:pStyle w:val="176"/>
      </w:pPr>
      <w:r>
        <w:rPr>
          <w:rFonts w:hint="eastAsia"/>
        </w:rPr>
        <w:t>出厂检验与上次型式检验有大差异时；</w:t>
      </w:r>
    </w:p>
    <w:p>
      <w:pPr>
        <w:pStyle w:val="176"/>
      </w:pPr>
      <w:r>
        <w:rPr>
          <w:rFonts w:hint="eastAsia"/>
        </w:rPr>
        <w:t>正常生产时，每年至少两次的周期性检验。</w:t>
      </w:r>
    </w:p>
    <w:p>
      <w:pPr>
        <w:pStyle w:val="107"/>
        <w:spacing w:before="156" w:after="156"/>
      </w:pPr>
      <w:r>
        <w:rPr>
          <w:rFonts w:hint="eastAsia"/>
        </w:rPr>
        <w:t>判定规则</w:t>
      </w:r>
    </w:p>
    <w:p>
      <w:pPr>
        <w:pStyle w:val="167"/>
      </w:pPr>
      <w:r>
        <w:rPr>
          <w:rFonts w:hint="eastAsia"/>
        </w:rPr>
        <w:t>感官检验所检项目全部符合7.1条规定,合格样本数符合GB/T 30891-2014表A.1规定，则判为批合格。</w:t>
      </w:r>
    </w:p>
    <w:p>
      <w:pPr>
        <w:pStyle w:val="167"/>
      </w:pPr>
      <w:r>
        <w:rPr>
          <w:rFonts w:hint="eastAsia"/>
        </w:rPr>
        <w:t>其他项目检验结果全部符合本标准要求时，判定为合格。</w:t>
      </w:r>
    </w:p>
    <w:p>
      <w:pPr>
        <w:pStyle w:val="167"/>
      </w:pPr>
      <w:r>
        <w:rPr>
          <w:rFonts w:hint="eastAsia"/>
        </w:rPr>
        <w:t>除微生物指标外，其他指标检验结果中若有两项或两项以上指标不符合标准规定时，则判该批产品不合格；若有一项指标不合格，允许加倍抽样将此项指标复检一次，按复检结果判定该批产品是否合格。</w:t>
      </w:r>
    </w:p>
    <w:p>
      <w:pPr>
        <w:pStyle w:val="167"/>
      </w:pPr>
      <w:r>
        <w:rPr>
          <w:rFonts w:hint="eastAsia"/>
        </w:rPr>
        <w:t>微生物指标有一项检验结果不合格，则判该批产品为不合格，不得复检。</w:t>
      </w:r>
    </w:p>
    <w:p>
      <w:pPr>
        <w:pStyle w:val="106"/>
        <w:spacing w:before="312" w:after="312"/>
      </w:pPr>
      <w:r>
        <w:rPr>
          <w:rFonts w:hint="eastAsia"/>
        </w:rPr>
        <w:t>包装、标识</w:t>
      </w:r>
    </w:p>
    <w:p>
      <w:pPr>
        <w:pStyle w:val="167"/>
      </w:pPr>
      <w:r>
        <w:rPr>
          <w:rFonts w:hint="eastAsia"/>
        </w:rPr>
        <w:t>应符合</w:t>
      </w:r>
      <w:r>
        <w:t>SC/T 3035</w:t>
      </w:r>
      <w:r>
        <w:rPr>
          <w:rFonts w:hint="eastAsia"/>
        </w:rPr>
        <w:t>的</w:t>
      </w:r>
      <w:r>
        <w:t>规定。</w:t>
      </w:r>
      <w:r>
        <w:rPr>
          <w:rFonts w:hint="eastAsia"/>
        </w:rPr>
        <w:t>应按同一</w:t>
      </w:r>
      <w:r>
        <w:t>品种、同一等级、</w:t>
      </w:r>
      <w:r>
        <w:rPr>
          <w:rFonts w:hint="eastAsia"/>
        </w:rPr>
        <w:t>同</w:t>
      </w:r>
      <w:r>
        <w:t>一规格包装，不应混装</w:t>
      </w:r>
      <w:r>
        <w:rPr>
          <w:rFonts w:hint="eastAsia"/>
        </w:rPr>
        <w:t>。</w:t>
      </w:r>
      <w:r>
        <w:rPr>
          <w:rFonts w:hAnsi="宋体"/>
        </w:rPr>
        <w:t>包装</w:t>
      </w:r>
      <w:r>
        <w:rPr>
          <w:rFonts w:hint="eastAsia" w:hAnsi="宋体"/>
        </w:rPr>
        <w:t>应牢固</w:t>
      </w:r>
      <w:r>
        <w:rPr>
          <w:rFonts w:hAnsi="宋体"/>
        </w:rPr>
        <w:t>、防潮、不</w:t>
      </w:r>
      <w:r>
        <w:rPr>
          <w:rFonts w:hint="eastAsia" w:hAnsi="宋体"/>
        </w:rPr>
        <w:t>易</w:t>
      </w:r>
      <w:r>
        <w:rPr>
          <w:rFonts w:hAnsi="宋体"/>
        </w:rPr>
        <w:t>破损。</w:t>
      </w:r>
    </w:p>
    <w:p>
      <w:pPr>
        <w:pStyle w:val="167"/>
      </w:pPr>
      <w:r>
        <w:rPr>
          <w:rFonts w:hint="eastAsia" w:hAnsi="宋体"/>
        </w:rPr>
        <w:t>营养标签应符合GB</w:t>
      </w:r>
      <w:r>
        <w:rPr>
          <w:rFonts w:hAnsi="宋体"/>
        </w:rPr>
        <w:t xml:space="preserve"> </w:t>
      </w:r>
      <w:r>
        <w:rPr>
          <w:rFonts w:hint="eastAsia"/>
        </w:rPr>
        <w:t>28050的规定。</w:t>
      </w:r>
    </w:p>
    <w:p>
      <w:pPr>
        <w:pStyle w:val="167"/>
      </w:pPr>
      <w:r>
        <w:rPr>
          <w:rFonts w:hint="eastAsia"/>
        </w:rPr>
        <w:t>标签上宜注明水产品质量占产品全部配料的百分比例、产品类别和食用方式。</w:t>
      </w:r>
    </w:p>
    <w:p>
      <w:pPr>
        <w:pStyle w:val="167"/>
      </w:pPr>
      <w:r>
        <w:rPr>
          <w:rFonts w:hint="eastAsia"/>
        </w:rPr>
        <w:t>实施可追溯的产品应有可追溯标识。</w:t>
      </w:r>
    </w:p>
    <w:p>
      <w:pPr>
        <w:pStyle w:val="167"/>
      </w:pPr>
      <w:r>
        <w:rPr>
          <w:rFonts w:hint="eastAsia"/>
        </w:rPr>
        <w:t>产品包装内应有合格证。</w:t>
      </w:r>
    </w:p>
    <w:p>
      <w:pPr>
        <w:pStyle w:val="106"/>
        <w:spacing w:before="312" w:after="312"/>
      </w:pPr>
      <w:r>
        <w:rPr>
          <w:rFonts w:hint="eastAsia"/>
        </w:rPr>
        <w:t>运输、贮存</w:t>
      </w:r>
    </w:p>
    <w:p>
      <w:pPr>
        <w:pStyle w:val="107"/>
        <w:spacing w:before="156" w:after="156"/>
      </w:pPr>
      <w:r>
        <w:rPr>
          <w:rFonts w:hint="eastAsia"/>
        </w:rPr>
        <w:t>运输</w:t>
      </w:r>
    </w:p>
    <w:p>
      <w:pPr>
        <w:pStyle w:val="167"/>
      </w:pPr>
      <w:r>
        <w:rPr>
          <w:rFonts w:hint="eastAsia"/>
        </w:rPr>
        <w:t>运输设备应清洁卫生，不应与有毒、有害、有异味或其他影响产品质量的物品混运，</w:t>
      </w:r>
      <w:r>
        <w:t>运输</w:t>
      </w:r>
      <w:r>
        <w:rPr>
          <w:rFonts w:hint="eastAsia"/>
        </w:rPr>
        <w:t>中</w:t>
      </w:r>
      <w:r>
        <w:t>防止日晒、虫害、有害物质的污染</w:t>
      </w:r>
      <w:r>
        <w:rPr>
          <w:rFonts w:hint="eastAsia"/>
        </w:rPr>
        <w:t>。</w:t>
      </w:r>
    </w:p>
    <w:p>
      <w:pPr>
        <w:pStyle w:val="167"/>
      </w:pPr>
      <w:r>
        <w:rPr>
          <w:rFonts w:hint="eastAsia"/>
        </w:rPr>
        <w:t>冷冻产品在运输过程中保持厢（箱）体内温度不高于-12℃。</w:t>
      </w:r>
    </w:p>
    <w:p>
      <w:pPr>
        <w:pStyle w:val="167"/>
      </w:pPr>
      <w:r>
        <w:rPr>
          <w:rFonts w:hint="eastAsia"/>
        </w:rPr>
        <w:t>冷藏产品在运输过程中宜保持厢（箱）体内温度在0℃～10℃。</w:t>
      </w:r>
    </w:p>
    <w:p>
      <w:pPr>
        <w:pStyle w:val="167"/>
      </w:pPr>
      <w:r>
        <w:rPr>
          <w:rFonts w:hint="eastAsia"/>
        </w:rPr>
        <w:t>运输</w:t>
      </w:r>
      <w:r>
        <w:t>时产品不应落地，</w:t>
      </w:r>
      <w:r>
        <w:rPr>
          <w:rFonts w:hint="eastAsia"/>
        </w:rPr>
        <w:t>冷冻产品或冷藏产品</w:t>
      </w:r>
      <w:r>
        <w:t>不应滞留在常温环境</w:t>
      </w:r>
      <w:r>
        <w:rPr>
          <w:rFonts w:hint="eastAsia"/>
        </w:rPr>
        <w:t>。</w:t>
      </w:r>
    </w:p>
    <w:p>
      <w:pPr>
        <w:pStyle w:val="167"/>
      </w:pPr>
      <w:r>
        <w:rPr>
          <w:rFonts w:hint="eastAsia"/>
        </w:rPr>
        <w:t>搬运产品应轻拿轻放，严禁摔扔、撞击、挤压</w:t>
      </w:r>
      <w:r>
        <w:t>。</w:t>
      </w:r>
    </w:p>
    <w:p>
      <w:pPr>
        <w:pStyle w:val="107"/>
        <w:spacing w:before="156" w:after="156"/>
      </w:pPr>
      <w:r>
        <w:rPr>
          <w:rFonts w:hint="eastAsia"/>
        </w:rPr>
        <w:t>贮存</w:t>
      </w:r>
    </w:p>
    <w:p>
      <w:pPr>
        <w:pStyle w:val="167"/>
      </w:pPr>
      <w:r>
        <w:rPr>
          <w:rFonts w:hint="eastAsia"/>
        </w:rPr>
        <w:t>贮存</w:t>
      </w:r>
      <w:r>
        <w:t>环境应符合卫生要求，</w:t>
      </w:r>
      <w:r>
        <w:rPr>
          <w:rFonts w:hint="eastAsia"/>
        </w:rPr>
        <w:t>清洁、无毒</w:t>
      </w:r>
      <w:r>
        <w:t>、</w:t>
      </w:r>
      <w:r>
        <w:rPr>
          <w:rFonts w:hint="eastAsia"/>
        </w:rPr>
        <w:t>无异味、无污染</w:t>
      </w:r>
      <w:r>
        <w:t>，</w:t>
      </w:r>
      <w:r>
        <w:rPr>
          <w:rFonts w:hint="eastAsia"/>
        </w:rPr>
        <w:t>防止虫害和有害物质的污染及其他损害。</w:t>
      </w:r>
    </w:p>
    <w:p>
      <w:pPr>
        <w:pStyle w:val="167"/>
      </w:pPr>
      <w:r>
        <w:t>不同</w:t>
      </w:r>
      <w:r>
        <w:rPr>
          <w:rFonts w:hint="eastAsia"/>
        </w:rPr>
        <w:t>品种</w:t>
      </w:r>
      <w:r>
        <w:t>、批次</w:t>
      </w:r>
      <w:r>
        <w:rPr>
          <w:rFonts w:hint="eastAsia"/>
        </w:rPr>
        <w:t>、规格</w:t>
      </w:r>
      <w:r>
        <w:t>的产品应分别堆垛，并用垫板垫起，堆放高度以纸箱受压不变形为宜。</w:t>
      </w:r>
    </w:p>
    <w:p>
      <w:pPr>
        <w:pStyle w:val="167"/>
      </w:pPr>
      <w:r>
        <w:rPr>
          <w:rFonts w:hint="eastAsia"/>
        </w:rPr>
        <w:t>冷冻产品贮存在冷库中，库内温度不高于</w:t>
      </w:r>
      <w:r>
        <w:t>-</w:t>
      </w:r>
      <w:r>
        <w:rPr>
          <w:rFonts w:hint="eastAsia"/>
        </w:rPr>
        <w:t>18℃，温度波动不超过</w:t>
      </w:r>
      <w:r>
        <w:t>2</w:t>
      </w:r>
      <w:r>
        <w:rPr>
          <w:rFonts w:hint="eastAsia"/>
        </w:rPr>
        <w:t>℃。</w:t>
      </w:r>
    </w:p>
    <w:p>
      <w:pPr>
        <w:pStyle w:val="167"/>
      </w:pPr>
      <w:r>
        <w:rPr>
          <w:rFonts w:hint="eastAsia"/>
        </w:rPr>
        <w:t>冷藏产品贮存在保鲜库中，库内温度宜不高于</w:t>
      </w:r>
      <w:r>
        <w:t>4</w:t>
      </w:r>
      <w:r>
        <w:rPr>
          <w:rFonts w:hint="eastAsia"/>
        </w:rPr>
        <w:t>℃。</w:t>
      </w:r>
    </w:p>
    <w:p>
      <w:pPr>
        <w:pStyle w:val="167"/>
      </w:pPr>
      <w:r>
        <w:rPr>
          <w:rFonts w:hint="eastAsia"/>
        </w:rPr>
        <w:t>产品应先进先出。</w:t>
      </w:r>
    </w:p>
    <w:bookmarkEnd w:id="19"/>
    <w:p>
      <w:pPr>
        <w:pStyle w:val="58"/>
        <w:ind w:firstLine="0" w:firstLineChars="0"/>
        <w:jc w:val="center"/>
      </w:pPr>
      <w:bookmarkStart w:id="38" w:name="BookMark8"/>
      <w:r>
        <w:rPr>
          <w:rFonts w:hint="eastAsia"/>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8"/>
    </w:p>
    <w:sectPr>
      <w:pgSz w:w="11906" w:h="16838"/>
      <w:pgMar w:top="1871"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 xml:space="preserve"> T/CAPPMA XXXXX—2022</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fldChar w:fldCharType="begin"/>
    </w:r>
    <w:r>
      <w:instrText xml:space="preserve"> STYLEREF  标准文件_文件编号  \* MERGEFORMAT </w:instrText>
    </w:r>
    <w:r>
      <w:fldChar w:fldCharType="separate"/>
    </w:r>
    <w:r>
      <w:t xml:space="preserve"> T/CAPPMA XXXXX—2022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8"/>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attachedTemplate r:id="rId1"/>
  <w:trackRevisions w:val="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iNGEyYzdkM2RlMjVhMDZjMGU3ZDBjZTcyYjg2N2YifQ=="/>
  </w:docVars>
  <w:rsids>
    <w:rsidRoot w:val="00371CFA"/>
    <w:rsid w:val="0000040A"/>
    <w:rsid w:val="00000A94"/>
    <w:rsid w:val="00001972"/>
    <w:rsid w:val="00001D9A"/>
    <w:rsid w:val="00001DA2"/>
    <w:rsid w:val="00007B3A"/>
    <w:rsid w:val="000107E0"/>
    <w:rsid w:val="00011FDE"/>
    <w:rsid w:val="00012FFD"/>
    <w:rsid w:val="00014162"/>
    <w:rsid w:val="00014340"/>
    <w:rsid w:val="00016A9C"/>
    <w:rsid w:val="000179CB"/>
    <w:rsid w:val="00022184"/>
    <w:rsid w:val="00022762"/>
    <w:rsid w:val="000238E0"/>
    <w:rsid w:val="000249DB"/>
    <w:rsid w:val="0002595E"/>
    <w:rsid w:val="00026095"/>
    <w:rsid w:val="0003007F"/>
    <w:rsid w:val="000303C3"/>
    <w:rsid w:val="000331D3"/>
    <w:rsid w:val="00033870"/>
    <w:rsid w:val="000346A5"/>
    <w:rsid w:val="000359C3"/>
    <w:rsid w:val="00035A7D"/>
    <w:rsid w:val="000365ED"/>
    <w:rsid w:val="0003728C"/>
    <w:rsid w:val="00040CC1"/>
    <w:rsid w:val="0004249A"/>
    <w:rsid w:val="00043282"/>
    <w:rsid w:val="00044286"/>
    <w:rsid w:val="000447DF"/>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20D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A03"/>
    <w:rsid w:val="000B3CDA"/>
    <w:rsid w:val="000B6A0B"/>
    <w:rsid w:val="000C0F6C"/>
    <w:rsid w:val="000C11DB"/>
    <w:rsid w:val="000C1492"/>
    <w:rsid w:val="000C2FBD"/>
    <w:rsid w:val="000C4B41"/>
    <w:rsid w:val="000C57D6"/>
    <w:rsid w:val="000C6362"/>
    <w:rsid w:val="000C7666"/>
    <w:rsid w:val="000D0A9C"/>
    <w:rsid w:val="000D1795"/>
    <w:rsid w:val="000D2184"/>
    <w:rsid w:val="000D329A"/>
    <w:rsid w:val="000D4B9C"/>
    <w:rsid w:val="000D4EB6"/>
    <w:rsid w:val="000D753B"/>
    <w:rsid w:val="000E38DA"/>
    <w:rsid w:val="000E4C9E"/>
    <w:rsid w:val="000E6FD7"/>
    <w:rsid w:val="000F06E1"/>
    <w:rsid w:val="000F0E3C"/>
    <w:rsid w:val="000F19D5"/>
    <w:rsid w:val="000F4AEA"/>
    <w:rsid w:val="000F67E9"/>
    <w:rsid w:val="00104926"/>
    <w:rsid w:val="00110669"/>
    <w:rsid w:val="00113B1E"/>
    <w:rsid w:val="0011711C"/>
    <w:rsid w:val="0012031C"/>
    <w:rsid w:val="00120BAD"/>
    <w:rsid w:val="00124283"/>
    <w:rsid w:val="00124E4F"/>
    <w:rsid w:val="001260B7"/>
    <w:rsid w:val="001265CB"/>
    <w:rsid w:val="001321C6"/>
    <w:rsid w:val="001325C4"/>
    <w:rsid w:val="00133010"/>
    <w:rsid w:val="001338EE"/>
    <w:rsid w:val="00133AAE"/>
    <w:rsid w:val="00135323"/>
    <w:rsid w:val="001356C4"/>
    <w:rsid w:val="00141114"/>
    <w:rsid w:val="00142969"/>
    <w:rsid w:val="00143261"/>
    <w:rsid w:val="001446C2"/>
    <w:rsid w:val="001457E7"/>
    <w:rsid w:val="00145D9D"/>
    <w:rsid w:val="00146388"/>
    <w:rsid w:val="00152187"/>
    <w:rsid w:val="001529E5"/>
    <w:rsid w:val="00153C7E"/>
    <w:rsid w:val="00156B25"/>
    <w:rsid w:val="00156E1A"/>
    <w:rsid w:val="00157894"/>
    <w:rsid w:val="00157B55"/>
    <w:rsid w:val="00162B49"/>
    <w:rsid w:val="00162FFA"/>
    <w:rsid w:val="001642FA"/>
    <w:rsid w:val="001649EB"/>
    <w:rsid w:val="00164BAF"/>
    <w:rsid w:val="00164FA8"/>
    <w:rsid w:val="00165065"/>
    <w:rsid w:val="00165434"/>
    <w:rsid w:val="0016580B"/>
    <w:rsid w:val="00165F49"/>
    <w:rsid w:val="0016659B"/>
    <w:rsid w:val="00166B88"/>
    <w:rsid w:val="0016770A"/>
    <w:rsid w:val="00170804"/>
    <w:rsid w:val="001708E9"/>
    <w:rsid w:val="00171E54"/>
    <w:rsid w:val="00172E63"/>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276E"/>
    <w:rsid w:val="001F4816"/>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459F"/>
    <w:rsid w:val="002253A1"/>
    <w:rsid w:val="00225CF8"/>
    <w:rsid w:val="0022794E"/>
    <w:rsid w:val="002337AC"/>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5849"/>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094"/>
    <w:rsid w:val="002C5278"/>
    <w:rsid w:val="002C7EBB"/>
    <w:rsid w:val="002D06C1"/>
    <w:rsid w:val="002D42B5"/>
    <w:rsid w:val="002D4F1A"/>
    <w:rsid w:val="002D6EC6"/>
    <w:rsid w:val="002D79AC"/>
    <w:rsid w:val="002E039D"/>
    <w:rsid w:val="002E4D5A"/>
    <w:rsid w:val="002E6326"/>
    <w:rsid w:val="002E647B"/>
    <w:rsid w:val="002F30E0"/>
    <w:rsid w:val="002F35E4"/>
    <w:rsid w:val="002F3730"/>
    <w:rsid w:val="002F38E1"/>
    <w:rsid w:val="002F7AF6"/>
    <w:rsid w:val="00300E63"/>
    <w:rsid w:val="00302F5F"/>
    <w:rsid w:val="0030441D"/>
    <w:rsid w:val="00304955"/>
    <w:rsid w:val="00306063"/>
    <w:rsid w:val="00313B85"/>
    <w:rsid w:val="00317988"/>
    <w:rsid w:val="003221B4"/>
    <w:rsid w:val="0032258D"/>
    <w:rsid w:val="00322E62"/>
    <w:rsid w:val="00324D13"/>
    <w:rsid w:val="00324EDD"/>
    <w:rsid w:val="003331E4"/>
    <w:rsid w:val="00336C64"/>
    <w:rsid w:val="00337162"/>
    <w:rsid w:val="0034093F"/>
    <w:rsid w:val="0034194F"/>
    <w:rsid w:val="00344605"/>
    <w:rsid w:val="003474AA"/>
    <w:rsid w:val="00350D1D"/>
    <w:rsid w:val="00352C83"/>
    <w:rsid w:val="003544FF"/>
    <w:rsid w:val="003615D2"/>
    <w:rsid w:val="0036429C"/>
    <w:rsid w:val="00364A53"/>
    <w:rsid w:val="003654CB"/>
    <w:rsid w:val="00365AA9"/>
    <w:rsid w:val="00365F86"/>
    <w:rsid w:val="00365F87"/>
    <w:rsid w:val="00366E89"/>
    <w:rsid w:val="003705F4"/>
    <w:rsid w:val="00370D58"/>
    <w:rsid w:val="00371316"/>
    <w:rsid w:val="00371CFA"/>
    <w:rsid w:val="00376713"/>
    <w:rsid w:val="00381815"/>
    <w:rsid w:val="003819AF"/>
    <w:rsid w:val="003820E9"/>
    <w:rsid w:val="00382DE7"/>
    <w:rsid w:val="00384FFC"/>
    <w:rsid w:val="003872FC"/>
    <w:rsid w:val="00387ADC"/>
    <w:rsid w:val="00387CED"/>
    <w:rsid w:val="00390020"/>
    <w:rsid w:val="003903D6"/>
    <w:rsid w:val="00390EE6"/>
    <w:rsid w:val="0039118F"/>
    <w:rsid w:val="00392AD7"/>
    <w:rsid w:val="003938D9"/>
    <w:rsid w:val="00394376"/>
    <w:rsid w:val="003943FF"/>
    <w:rsid w:val="003974EB"/>
    <w:rsid w:val="00397CC5"/>
    <w:rsid w:val="00397F38"/>
    <w:rsid w:val="003A1582"/>
    <w:rsid w:val="003A4077"/>
    <w:rsid w:val="003B09AD"/>
    <w:rsid w:val="003B1F18"/>
    <w:rsid w:val="003B4B10"/>
    <w:rsid w:val="003B5BF0"/>
    <w:rsid w:val="003B60BF"/>
    <w:rsid w:val="003B6BE3"/>
    <w:rsid w:val="003C010C"/>
    <w:rsid w:val="003C0770"/>
    <w:rsid w:val="003C0A6C"/>
    <w:rsid w:val="003C14F8"/>
    <w:rsid w:val="003C5A43"/>
    <w:rsid w:val="003D0519"/>
    <w:rsid w:val="003D0FF6"/>
    <w:rsid w:val="003D262C"/>
    <w:rsid w:val="003D6D61"/>
    <w:rsid w:val="003E091D"/>
    <w:rsid w:val="003E1C53"/>
    <w:rsid w:val="003E2A69"/>
    <w:rsid w:val="003E2D49"/>
    <w:rsid w:val="003E2FD4"/>
    <w:rsid w:val="003E4856"/>
    <w:rsid w:val="003E49F6"/>
    <w:rsid w:val="003E660F"/>
    <w:rsid w:val="003F0841"/>
    <w:rsid w:val="003F0EB6"/>
    <w:rsid w:val="003F23D3"/>
    <w:rsid w:val="003F3700"/>
    <w:rsid w:val="003F3C6A"/>
    <w:rsid w:val="003F3F08"/>
    <w:rsid w:val="003F49F1"/>
    <w:rsid w:val="003F6272"/>
    <w:rsid w:val="003F7145"/>
    <w:rsid w:val="00400E72"/>
    <w:rsid w:val="00401400"/>
    <w:rsid w:val="00404869"/>
    <w:rsid w:val="00405884"/>
    <w:rsid w:val="00407D39"/>
    <w:rsid w:val="00407D83"/>
    <w:rsid w:val="00410B3B"/>
    <w:rsid w:val="00411277"/>
    <w:rsid w:val="004126A2"/>
    <w:rsid w:val="0041477A"/>
    <w:rsid w:val="004167A3"/>
    <w:rsid w:val="004224E0"/>
    <w:rsid w:val="00431B95"/>
    <w:rsid w:val="00432DAA"/>
    <w:rsid w:val="00434305"/>
    <w:rsid w:val="00434993"/>
    <w:rsid w:val="00435DF7"/>
    <w:rsid w:val="0044083F"/>
    <w:rsid w:val="00441AE7"/>
    <w:rsid w:val="00445574"/>
    <w:rsid w:val="004467FB"/>
    <w:rsid w:val="00452D6B"/>
    <w:rsid w:val="00454484"/>
    <w:rsid w:val="0045517B"/>
    <w:rsid w:val="004600C1"/>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1E52"/>
    <w:rsid w:val="00492F02"/>
    <w:rsid w:val="004939AE"/>
    <w:rsid w:val="004977F4"/>
    <w:rsid w:val="004A12DF"/>
    <w:rsid w:val="004A1BA8"/>
    <w:rsid w:val="004A4B57"/>
    <w:rsid w:val="004A63FA"/>
    <w:rsid w:val="004B0272"/>
    <w:rsid w:val="004B1B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5FB0"/>
    <w:rsid w:val="004E67C0"/>
    <w:rsid w:val="004F391A"/>
    <w:rsid w:val="004F3CFB"/>
    <w:rsid w:val="004F5B82"/>
    <w:rsid w:val="004F6456"/>
    <w:rsid w:val="004F696E"/>
    <w:rsid w:val="004F6C71"/>
    <w:rsid w:val="00501139"/>
    <w:rsid w:val="0050363E"/>
    <w:rsid w:val="005039BC"/>
    <w:rsid w:val="005043BB"/>
    <w:rsid w:val="00504A3D"/>
    <w:rsid w:val="00505767"/>
    <w:rsid w:val="00506E4D"/>
    <w:rsid w:val="005073F0"/>
    <w:rsid w:val="00510A7B"/>
    <w:rsid w:val="00512F6E"/>
    <w:rsid w:val="00513038"/>
    <w:rsid w:val="005132F0"/>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7876"/>
    <w:rsid w:val="00541853"/>
    <w:rsid w:val="00543BDA"/>
    <w:rsid w:val="005441CC"/>
    <w:rsid w:val="005479DA"/>
    <w:rsid w:val="00547BCC"/>
    <w:rsid w:val="0055013B"/>
    <w:rsid w:val="00551F6F"/>
    <w:rsid w:val="00555044"/>
    <w:rsid w:val="00561475"/>
    <w:rsid w:val="0056487B"/>
    <w:rsid w:val="00564FB9"/>
    <w:rsid w:val="005671CD"/>
    <w:rsid w:val="0057198F"/>
    <w:rsid w:val="00573D9E"/>
    <w:rsid w:val="005801E3"/>
    <w:rsid w:val="00581802"/>
    <w:rsid w:val="00582331"/>
    <w:rsid w:val="005830A6"/>
    <w:rsid w:val="005836A8"/>
    <w:rsid w:val="0058409C"/>
    <w:rsid w:val="00584262"/>
    <w:rsid w:val="00586630"/>
    <w:rsid w:val="00587ADD"/>
    <w:rsid w:val="00595A4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0DE"/>
    <w:rsid w:val="005C29B8"/>
    <w:rsid w:val="005C5F21"/>
    <w:rsid w:val="005C7156"/>
    <w:rsid w:val="005D0C75"/>
    <w:rsid w:val="005D3530"/>
    <w:rsid w:val="005D4171"/>
    <w:rsid w:val="005D6A95"/>
    <w:rsid w:val="005D6B2C"/>
    <w:rsid w:val="005D6D9C"/>
    <w:rsid w:val="005E2335"/>
    <w:rsid w:val="005E3357"/>
    <w:rsid w:val="005E34CA"/>
    <w:rsid w:val="005E3C18"/>
    <w:rsid w:val="005E6812"/>
    <w:rsid w:val="005E7881"/>
    <w:rsid w:val="005E78E0"/>
    <w:rsid w:val="005F0D9C"/>
    <w:rsid w:val="005F22E9"/>
    <w:rsid w:val="005F284E"/>
    <w:rsid w:val="006015CE"/>
    <w:rsid w:val="00604784"/>
    <w:rsid w:val="00606272"/>
    <w:rsid w:val="00606419"/>
    <w:rsid w:val="00607D29"/>
    <w:rsid w:val="00612952"/>
    <w:rsid w:val="00614CC1"/>
    <w:rsid w:val="00615A9D"/>
    <w:rsid w:val="00617387"/>
    <w:rsid w:val="0061740B"/>
    <w:rsid w:val="006205D6"/>
    <w:rsid w:val="006252D8"/>
    <w:rsid w:val="006259BC"/>
    <w:rsid w:val="0062636B"/>
    <w:rsid w:val="00632182"/>
    <w:rsid w:val="00632AE0"/>
    <w:rsid w:val="00633C17"/>
    <w:rsid w:val="00633C27"/>
    <w:rsid w:val="00634D9E"/>
    <w:rsid w:val="00636E3E"/>
    <w:rsid w:val="006379F7"/>
    <w:rsid w:val="00637E4D"/>
    <w:rsid w:val="00640620"/>
    <w:rsid w:val="006406BA"/>
    <w:rsid w:val="00641A1F"/>
    <w:rsid w:val="00645571"/>
    <w:rsid w:val="00645904"/>
    <w:rsid w:val="00650C6A"/>
    <w:rsid w:val="00651ACB"/>
    <w:rsid w:val="00651C47"/>
    <w:rsid w:val="00652AB2"/>
    <w:rsid w:val="00653FED"/>
    <w:rsid w:val="00654EC0"/>
    <w:rsid w:val="0065525B"/>
    <w:rsid w:val="00655D4F"/>
    <w:rsid w:val="00656D29"/>
    <w:rsid w:val="00656E93"/>
    <w:rsid w:val="006640E5"/>
    <w:rsid w:val="006646F1"/>
    <w:rsid w:val="00664929"/>
    <w:rsid w:val="00664F62"/>
    <w:rsid w:val="006655E1"/>
    <w:rsid w:val="00672060"/>
    <w:rsid w:val="00672BFD"/>
    <w:rsid w:val="006753FA"/>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A68F4"/>
    <w:rsid w:val="006A71D1"/>
    <w:rsid w:val="006B2672"/>
    <w:rsid w:val="006B4FFE"/>
    <w:rsid w:val="006B54BF"/>
    <w:rsid w:val="006B5F44"/>
    <w:rsid w:val="006B5F90"/>
    <w:rsid w:val="006B62E4"/>
    <w:rsid w:val="006C1BBA"/>
    <w:rsid w:val="006C2079"/>
    <w:rsid w:val="006C5A62"/>
    <w:rsid w:val="006C5D68"/>
    <w:rsid w:val="006C6976"/>
    <w:rsid w:val="006C6DD0"/>
    <w:rsid w:val="006D04EA"/>
    <w:rsid w:val="006D126E"/>
    <w:rsid w:val="006D16C4"/>
    <w:rsid w:val="006D20E7"/>
    <w:rsid w:val="006D3E96"/>
    <w:rsid w:val="006D4515"/>
    <w:rsid w:val="006D4BB1"/>
    <w:rsid w:val="006D6593"/>
    <w:rsid w:val="006F03A8"/>
    <w:rsid w:val="006F2ACA"/>
    <w:rsid w:val="006F2ADC"/>
    <w:rsid w:val="006F2BFE"/>
    <w:rsid w:val="006F31E9"/>
    <w:rsid w:val="006F6284"/>
    <w:rsid w:val="007002C5"/>
    <w:rsid w:val="00704387"/>
    <w:rsid w:val="00704D7C"/>
    <w:rsid w:val="00707669"/>
    <w:rsid w:val="0071167B"/>
    <w:rsid w:val="00711CBA"/>
    <w:rsid w:val="00711FB5"/>
    <w:rsid w:val="00712A01"/>
    <w:rsid w:val="00714F58"/>
    <w:rsid w:val="00722FBF"/>
    <w:rsid w:val="00722FC2"/>
    <w:rsid w:val="00724E1B"/>
    <w:rsid w:val="00725949"/>
    <w:rsid w:val="00727FA2"/>
    <w:rsid w:val="00730136"/>
    <w:rsid w:val="00731EBF"/>
    <w:rsid w:val="007322D9"/>
    <w:rsid w:val="00732BC0"/>
    <w:rsid w:val="00733905"/>
    <w:rsid w:val="0073720F"/>
    <w:rsid w:val="00737796"/>
    <w:rsid w:val="0074165C"/>
    <w:rsid w:val="00742A1D"/>
    <w:rsid w:val="00742C35"/>
    <w:rsid w:val="007432CA"/>
    <w:rsid w:val="007439EB"/>
    <w:rsid w:val="00743CB4"/>
    <w:rsid w:val="00743F0A"/>
    <w:rsid w:val="007444E8"/>
    <w:rsid w:val="00744DFB"/>
    <w:rsid w:val="0074548E"/>
    <w:rsid w:val="00745773"/>
    <w:rsid w:val="00746800"/>
    <w:rsid w:val="007501A8"/>
    <w:rsid w:val="00750D61"/>
    <w:rsid w:val="00750EE1"/>
    <w:rsid w:val="00752B4D"/>
    <w:rsid w:val="00755402"/>
    <w:rsid w:val="00756B26"/>
    <w:rsid w:val="00756EDF"/>
    <w:rsid w:val="007600E3"/>
    <w:rsid w:val="00761A2F"/>
    <w:rsid w:val="00765269"/>
    <w:rsid w:val="00765C43"/>
    <w:rsid w:val="00765EFB"/>
    <w:rsid w:val="007671CA"/>
    <w:rsid w:val="00767C61"/>
    <w:rsid w:val="0077008A"/>
    <w:rsid w:val="00773C1F"/>
    <w:rsid w:val="00774DA4"/>
    <w:rsid w:val="00776599"/>
    <w:rsid w:val="0078114B"/>
    <w:rsid w:val="00781DD2"/>
    <w:rsid w:val="00782B2C"/>
    <w:rsid w:val="00783ECF"/>
    <w:rsid w:val="0078413A"/>
    <w:rsid w:val="007959E8"/>
    <w:rsid w:val="00795E9C"/>
    <w:rsid w:val="007A0521"/>
    <w:rsid w:val="007A2E12"/>
    <w:rsid w:val="007A3475"/>
    <w:rsid w:val="007A41C8"/>
    <w:rsid w:val="007A54CE"/>
    <w:rsid w:val="007A6FD9"/>
    <w:rsid w:val="007A7FFA"/>
    <w:rsid w:val="007B04EB"/>
    <w:rsid w:val="007B0D4F"/>
    <w:rsid w:val="007B294C"/>
    <w:rsid w:val="007B5A3D"/>
    <w:rsid w:val="007B5B95"/>
    <w:rsid w:val="007B68EA"/>
    <w:rsid w:val="007B7453"/>
    <w:rsid w:val="007C1A9B"/>
    <w:rsid w:val="007C2662"/>
    <w:rsid w:val="007C2D89"/>
    <w:rsid w:val="007C4593"/>
    <w:rsid w:val="007C5309"/>
    <w:rsid w:val="007C6069"/>
    <w:rsid w:val="007D06C4"/>
    <w:rsid w:val="007D1352"/>
    <w:rsid w:val="007D2508"/>
    <w:rsid w:val="007D346A"/>
    <w:rsid w:val="007D5415"/>
    <w:rsid w:val="007D6518"/>
    <w:rsid w:val="007D76BD"/>
    <w:rsid w:val="007E0BF1"/>
    <w:rsid w:val="007F0ED8"/>
    <w:rsid w:val="007F0F63"/>
    <w:rsid w:val="007F5D7E"/>
    <w:rsid w:val="007F75CE"/>
    <w:rsid w:val="008013A4"/>
    <w:rsid w:val="008027CE"/>
    <w:rsid w:val="00802F42"/>
    <w:rsid w:val="00804383"/>
    <w:rsid w:val="00804BB7"/>
    <w:rsid w:val="00804D41"/>
    <w:rsid w:val="00806C7D"/>
    <w:rsid w:val="00810257"/>
    <w:rsid w:val="008104F5"/>
    <w:rsid w:val="00810CB9"/>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CD0"/>
    <w:rsid w:val="008603CE"/>
    <w:rsid w:val="008620FC"/>
    <w:rsid w:val="008627A5"/>
    <w:rsid w:val="00863E05"/>
    <w:rsid w:val="00865ACA"/>
    <w:rsid w:val="00865B10"/>
    <w:rsid w:val="00865D28"/>
    <w:rsid w:val="00865F85"/>
    <w:rsid w:val="00867C10"/>
    <w:rsid w:val="00870439"/>
    <w:rsid w:val="00870DA1"/>
    <w:rsid w:val="0088104F"/>
    <w:rsid w:val="00883F93"/>
    <w:rsid w:val="00884DB3"/>
    <w:rsid w:val="00885A9D"/>
    <w:rsid w:val="008864F6"/>
    <w:rsid w:val="0089004D"/>
    <w:rsid w:val="0089049D"/>
    <w:rsid w:val="008928C9"/>
    <w:rsid w:val="008930CB"/>
    <w:rsid w:val="008938DC"/>
    <w:rsid w:val="00893FD1"/>
    <w:rsid w:val="00894836"/>
    <w:rsid w:val="00895172"/>
    <w:rsid w:val="00895680"/>
    <w:rsid w:val="00896DFF"/>
    <w:rsid w:val="0089762C"/>
    <w:rsid w:val="008A1893"/>
    <w:rsid w:val="008A3223"/>
    <w:rsid w:val="008A57E6"/>
    <w:rsid w:val="008A6F81"/>
    <w:rsid w:val="008A769A"/>
    <w:rsid w:val="008B0C9C"/>
    <w:rsid w:val="008B166D"/>
    <w:rsid w:val="008B17F4"/>
    <w:rsid w:val="008B23CF"/>
    <w:rsid w:val="008B3615"/>
    <w:rsid w:val="008B4AC4"/>
    <w:rsid w:val="008B50C8"/>
    <w:rsid w:val="008B5281"/>
    <w:rsid w:val="008B7E05"/>
    <w:rsid w:val="008C1797"/>
    <w:rsid w:val="008C219C"/>
    <w:rsid w:val="008C475E"/>
    <w:rsid w:val="008C619A"/>
    <w:rsid w:val="008D0CE8"/>
    <w:rsid w:val="008D1199"/>
    <w:rsid w:val="008D2D1D"/>
    <w:rsid w:val="008D453D"/>
    <w:rsid w:val="008D53AD"/>
    <w:rsid w:val="008D562B"/>
    <w:rsid w:val="008D5733"/>
    <w:rsid w:val="008D5C0E"/>
    <w:rsid w:val="008D622B"/>
    <w:rsid w:val="008D666C"/>
    <w:rsid w:val="008D7B54"/>
    <w:rsid w:val="008E0C9D"/>
    <w:rsid w:val="008E1648"/>
    <w:rsid w:val="008E1B3E"/>
    <w:rsid w:val="008E2319"/>
    <w:rsid w:val="008E4BB6"/>
    <w:rsid w:val="008E5518"/>
    <w:rsid w:val="008E5AA0"/>
    <w:rsid w:val="008E6A84"/>
    <w:rsid w:val="008F0CDC"/>
    <w:rsid w:val="008F17A3"/>
    <w:rsid w:val="008F1ED3"/>
    <w:rsid w:val="008F4C29"/>
    <w:rsid w:val="008F565E"/>
    <w:rsid w:val="008F70BD"/>
    <w:rsid w:val="008F788F"/>
    <w:rsid w:val="008F7EA2"/>
    <w:rsid w:val="00901E4A"/>
    <w:rsid w:val="00902722"/>
    <w:rsid w:val="009027BC"/>
    <w:rsid w:val="009062E6"/>
    <w:rsid w:val="00911789"/>
    <w:rsid w:val="00911BE5"/>
    <w:rsid w:val="00913CA9"/>
    <w:rsid w:val="009145AE"/>
    <w:rsid w:val="009146CE"/>
    <w:rsid w:val="00914CA7"/>
    <w:rsid w:val="00915C3E"/>
    <w:rsid w:val="009161A8"/>
    <w:rsid w:val="0092083F"/>
    <w:rsid w:val="009245F5"/>
    <w:rsid w:val="009249EC"/>
    <w:rsid w:val="009273B3"/>
    <w:rsid w:val="00927CB7"/>
    <w:rsid w:val="009305B5"/>
    <w:rsid w:val="0093323E"/>
    <w:rsid w:val="00936F25"/>
    <w:rsid w:val="00940B29"/>
    <w:rsid w:val="009429D5"/>
    <w:rsid w:val="00942BF1"/>
    <w:rsid w:val="00945180"/>
    <w:rsid w:val="00945428"/>
    <w:rsid w:val="0094607B"/>
    <w:rsid w:val="00953604"/>
    <w:rsid w:val="0095496B"/>
    <w:rsid w:val="009610DC"/>
    <w:rsid w:val="00961490"/>
    <w:rsid w:val="00962175"/>
    <w:rsid w:val="009633EF"/>
    <w:rsid w:val="0096381A"/>
    <w:rsid w:val="00965E04"/>
    <w:rsid w:val="009674AD"/>
    <w:rsid w:val="00970CDC"/>
    <w:rsid w:val="00977010"/>
    <w:rsid w:val="00977D02"/>
    <w:rsid w:val="00980326"/>
    <w:rsid w:val="009809BB"/>
    <w:rsid w:val="0098364B"/>
    <w:rsid w:val="009911AF"/>
    <w:rsid w:val="00991875"/>
    <w:rsid w:val="00991F92"/>
    <w:rsid w:val="00992985"/>
    <w:rsid w:val="00993889"/>
    <w:rsid w:val="0099551B"/>
    <w:rsid w:val="00995C27"/>
    <w:rsid w:val="00997BF1"/>
    <w:rsid w:val="009A089C"/>
    <w:rsid w:val="009A118E"/>
    <w:rsid w:val="009A21CD"/>
    <w:rsid w:val="009A2577"/>
    <w:rsid w:val="009A278C"/>
    <w:rsid w:val="009A2BC2"/>
    <w:rsid w:val="009A42C1"/>
    <w:rsid w:val="009A5429"/>
    <w:rsid w:val="009A72AD"/>
    <w:rsid w:val="009B09E0"/>
    <w:rsid w:val="009B0BC5"/>
    <w:rsid w:val="009B1247"/>
    <w:rsid w:val="009B40BF"/>
    <w:rsid w:val="009B6029"/>
    <w:rsid w:val="009B6971"/>
    <w:rsid w:val="009C27F1"/>
    <w:rsid w:val="009C3152"/>
    <w:rsid w:val="009C4CFA"/>
    <w:rsid w:val="009C5070"/>
    <w:rsid w:val="009C718A"/>
    <w:rsid w:val="009C75B7"/>
    <w:rsid w:val="009D112C"/>
    <w:rsid w:val="009D1D77"/>
    <w:rsid w:val="009D47FA"/>
    <w:rsid w:val="009D4C5B"/>
    <w:rsid w:val="009D50D2"/>
    <w:rsid w:val="009D6BCA"/>
    <w:rsid w:val="009E0F62"/>
    <w:rsid w:val="009E4A58"/>
    <w:rsid w:val="009E5A2D"/>
    <w:rsid w:val="009E5AB2"/>
    <w:rsid w:val="009E6219"/>
    <w:rsid w:val="009F03B3"/>
    <w:rsid w:val="009F1F02"/>
    <w:rsid w:val="00A0096C"/>
    <w:rsid w:val="00A01757"/>
    <w:rsid w:val="00A028C0"/>
    <w:rsid w:val="00A02BAE"/>
    <w:rsid w:val="00A06A6B"/>
    <w:rsid w:val="00A07E47"/>
    <w:rsid w:val="00A129D0"/>
    <w:rsid w:val="00A12C33"/>
    <w:rsid w:val="00A138BA"/>
    <w:rsid w:val="00A13E0A"/>
    <w:rsid w:val="00A14C8E"/>
    <w:rsid w:val="00A153D9"/>
    <w:rsid w:val="00A15F09"/>
    <w:rsid w:val="00A166B8"/>
    <w:rsid w:val="00A169B6"/>
    <w:rsid w:val="00A2271D"/>
    <w:rsid w:val="00A237D5"/>
    <w:rsid w:val="00A253AA"/>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3719"/>
    <w:rsid w:val="00A55BD6"/>
    <w:rsid w:val="00A55D50"/>
    <w:rsid w:val="00A567CC"/>
    <w:rsid w:val="00A57142"/>
    <w:rsid w:val="00A573A6"/>
    <w:rsid w:val="00A648CD"/>
    <w:rsid w:val="00A6537A"/>
    <w:rsid w:val="00A67866"/>
    <w:rsid w:val="00A70B07"/>
    <w:rsid w:val="00A723F8"/>
    <w:rsid w:val="00A75998"/>
    <w:rsid w:val="00A76150"/>
    <w:rsid w:val="00A77CCB"/>
    <w:rsid w:val="00A83D8D"/>
    <w:rsid w:val="00A8446B"/>
    <w:rsid w:val="00A8473F"/>
    <w:rsid w:val="00A862D6"/>
    <w:rsid w:val="00A8715E"/>
    <w:rsid w:val="00A8792A"/>
    <w:rsid w:val="00A9295B"/>
    <w:rsid w:val="00A93B09"/>
    <w:rsid w:val="00A952D7"/>
    <w:rsid w:val="00A963F7"/>
    <w:rsid w:val="00A96AD8"/>
    <w:rsid w:val="00A97241"/>
    <w:rsid w:val="00AA052C"/>
    <w:rsid w:val="00AA1E45"/>
    <w:rsid w:val="00AA4286"/>
    <w:rsid w:val="00AA456B"/>
    <w:rsid w:val="00AA57F5"/>
    <w:rsid w:val="00AA672E"/>
    <w:rsid w:val="00AA6EC9"/>
    <w:rsid w:val="00AB6309"/>
    <w:rsid w:val="00AB6C5F"/>
    <w:rsid w:val="00AB7129"/>
    <w:rsid w:val="00AC27A6"/>
    <w:rsid w:val="00AC30F7"/>
    <w:rsid w:val="00AC3A5A"/>
    <w:rsid w:val="00AC44FC"/>
    <w:rsid w:val="00AC4D95"/>
    <w:rsid w:val="00AC5DF4"/>
    <w:rsid w:val="00AD0AEF"/>
    <w:rsid w:val="00AD11B7"/>
    <w:rsid w:val="00AD1A94"/>
    <w:rsid w:val="00AD1C05"/>
    <w:rsid w:val="00AD4126"/>
    <w:rsid w:val="00AD421C"/>
    <w:rsid w:val="00AD44FA"/>
    <w:rsid w:val="00AE070A"/>
    <w:rsid w:val="00AE101C"/>
    <w:rsid w:val="00AE37E5"/>
    <w:rsid w:val="00AE5EB4"/>
    <w:rsid w:val="00AE62C7"/>
    <w:rsid w:val="00AF0C18"/>
    <w:rsid w:val="00AF47C5"/>
    <w:rsid w:val="00AF5398"/>
    <w:rsid w:val="00AF5FFE"/>
    <w:rsid w:val="00B02254"/>
    <w:rsid w:val="00B049AF"/>
    <w:rsid w:val="00B07242"/>
    <w:rsid w:val="00B10534"/>
    <w:rsid w:val="00B113DB"/>
    <w:rsid w:val="00B11D8A"/>
    <w:rsid w:val="00B12981"/>
    <w:rsid w:val="00B147DD"/>
    <w:rsid w:val="00B156FD"/>
    <w:rsid w:val="00B1690E"/>
    <w:rsid w:val="00B21B7B"/>
    <w:rsid w:val="00B21F61"/>
    <w:rsid w:val="00B24739"/>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11F7"/>
    <w:rsid w:val="00B52120"/>
    <w:rsid w:val="00B54ABC"/>
    <w:rsid w:val="00B54D41"/>
    <w:rsid w:val="00B55A24"/>
    <w:rsid w:val="00B56FBE"/>
    <w:rsid w:val="00B577FB"/>
    <w:rsid w:val="00B60ACF"/>
    <w:rsid w:val="00B62B58"/>
    <w:rsid w:val="00B65149"/>
    <w:rsid w:val="00B66567"/>
    <w:rsid w:val="00B66F52"/>
    <w:rsid w:val="00B66FE5"/>
    <w:rsid w:val="00B72880"/>
    <w:rsid w:val="00B758BF"/>
    <w:rsid w:val="00B77EC8"/>
    <w:rsid w:val="00B813A3"/>
    <w:rsid w:val="00B827A6"/>
    <w:rsid w:val="00B831CE"/>
    <w:rsid w:val="00B86677"/>
    <w:rsid w:val="00B87131"/>
    <w:rsid w:val="00B939B1"/>
    <w:rsid w:val="00B946E2"/>
    <w:rsid w:val="00B9679B"/>
    <w:rsid w:val="00B96D40"/>
    <w:rsid w:val="00B97386"/>
    <w:rsid w:val="00BA1BA8"/>
    <w:rsid w:val="00BA2102"/>
    <w:rsid w:val="00BA263B"/>
    <w:rsid w:val="00BA42B2"/>
    <w:rsid w:val="00BA58D4"/>
    <w:rsid w:val="00BA5B9E"/>
    <w:rsid w:val="00BA5D9A"/>
    <w:rsid w:val="00BA7C9A"/>
    <w:rsid w:val="00BB5F8F"/>
    <w:rsid w:val="00BB657A"/>
    <w:rsid w:val="00BC1A4E"/>
    <w:rsid w:val="00BC471F"/>
    <w:rsid w:val="00BC50C6"/>
    <w:rsid w:val="00BC5DC7"/>
    <w:rsid w:val="00BC6B8B"/>
    <w:rsid w:val="00BC73D8"/>
    <w:rsid w:val="00BC74CF"/>
    <w:rsid w:val="00BC78B1"/>
    <w:rsid w:val="00BD52D7"/>
    <w:rsid w:val="00BD5A5F"/>
    <w:rsid w:val="00BD5AD2"/>
    <w:rsid w:val="00BE145E"/>
    <w:rsid w:val="00BE18D9"/>
    <w:rsid w:val="00BE22F3"/>
    <w:rsid w:val="00BE3E6A"/>
    <w:rsid w:val="00BE5B52"/>
    <w:rsid w:val="00BE7B8D"/>
    <w:rsid w:val="00BE7CE2"/>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27DE"/>
    <w:rsid w:val="00C44BF5"/>
    <w:rsid w:val="00C521D6"/>
    <w:rsid w:val="00C55232"/>
    <w:rsid w:val="00C553A4"/>
    <w:rsid w:val="00C55A06"/>
    <w:rsid w:val="00C55D03"/>
    <w:rsid w:val="00C601BC"/>
    <w:rsid w:val="00C6329F"/>
    <w:rsid w:val="00C63340"/>
    <w:rsid w:val="00C643F9"/>
    <w:rsid w:val="00C64E95"/>
    <w:rsid w:val="00C65DB1"/>
    <w:rsid w:val="00C71372"/>
    <w:rsid w:val="00C72410"/>
    <w:rsid w:val="00C7287F"/>
    <w:rsid w:val="00C762CF"/>
    <w:rsid w:val="00C80CB8"/>
    <w:rsid w:val="00C819F8"/>
    <w:rsid w:val="00C8248C"/>
    <w:rsid w:val="00C84E33"/>
    <w:rsid w:val="00C86D6F"/>
    <w:rsid w:val="00C905FC"/>
    <w:rsid w:val="00C9169F"/>
    <w:rsid w:val="00C92D03"/>
    <w:rsid w:val="00C9319C"/>
    <w:rsid w:val="00C9435D"/>
    <w:rsid w:val="00C94DF2"/>
    <w:rsid w:val="00C96741"/>
    <w:rsid w:val="00CA2D1B"/>
    <w:rsid w:val="00CA375D"/>
    <w:rsid w:val="00CA3BDD"/>
    <w:rsid w:val="00CA662A"/>
    <w:rsid w:val="00CA7AFD"/>
    <w:rsid w:val="00CA7C3C"/>
    <w:rsid w:val="00CB0189"/>
    <w:rsid w:val="00CB0BA2"/>
    <w:rsid w:val="00CB1A42"/>
    <w:rsid w:val="00CB1B0C"/>
    <w:rsid w:val="00CB2C0B"/>
    <w:rsid w:val="00CB36E4"/>
    <w:rsid w:val="00CB517D"/>
    <w:rsid w:val="00CB70E7"/>
    <w:rsid w:val="00CC038D"/>
    <w:rsid w:val="00CC08DB"/>
    <w:rsid w:val="00CC0C36"/>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7072"/>
    <w:rsid w:val="00CE0C4F"/>
    <w:rsid w:val="00CE24E1"/>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382E"/>
    <w:rsid w:val="00D1489E"/>
    <w:rsid w:val="00D20737"/>
    <w:rsid w:val="00D21E81"/>
    <w:rsid w:val="00D223DE"/>
    <w:rsid w:val="00D25A11"/>
    <w:rsid w:val="00D25E37"/>
    <w:rsid w:val="00D2661A"/>
    <w:rsid w:val="00D27582"/>
    <w:rsid w:val="00D27EC4"/>
    <w:rsid w:val="00D30F06"/>
    <w:rsid w:val="00D3251B"/>
    <w:rsid w:val="00D32719"/>
    <w:rsid w:val="00D33333"/>
    <w:rsid w:val="00D352A2"/>
    <w:rsid w:val="00D3661E"/>
    <w:rsid w:val="00D4162B"/>
    <w:rsid w:val="00D4514F"/>
    <w:rsid w:val="00D451E2"/>
    <w:rsid w:val="00D45E89"/>
    <w:rsid w:val="00D45E8D"/>
    <w:rsid w:val="00D466AE"/>
    <w:rsid w:val="00D4734F"/>
    <w:rsid w:val="00D51BF3"/>
    <w:rsid w:val="00D6531D"/>
    <w:rsid w:val="00D66846"/>
    <w:rsid w:val="00D675FB"/>
    <w:rsid w:val="00D71F25"/>
    <w:rsid w:val="00D72A9C"/>
    <w:rsid w:val="00D77031"/>
    <w:rsid w:val="00D774B5"/>
    <w:rsid w:val="00D80DEC"/>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43A6"/>
    <w:rsid w:val="00DA64F8"/>
    <w:rsid w:val="00DA6C15"/>
    <w:rsid w:val="00DA7241"/>
    <w:rsid w:val="00DB0258"/>
    <w:rsid w:val="00DB38EE"/>
    <w:rsid w:val="00DB498B"/>
    <w:rsid w:val="00DB66CA"/>
    <w:rsid w:val="00DB6BCA"/>
    <w:rsid w:val="00DB73F7"/>
    <w:rsid w:val="00DC0321"/>
    <w:rsid w:val="00DC11A0"/>
    <w:rsid w:val="00DC3067"/>
    <w:rsid w:val="00DC370B"/>
    <w:rsid w:val="00DC5B90"/>
    <w:rsid w:val="00DD00FF"/>
    <w:rsid w:val="00DD0619"/>
    <w:rsid w:val="00DD07FB"/>
    <w:rsid w:val="00DD25C6"/>
    <w:rsid w:val="00DD4FE5"/>
    <w:rsid w:val="00DD54B0"/>
    <w:rsid w:val="00DD57EE"/>
    <w:rsid w:val="00DD6BCC"/>
    <w:rsid w:val="00DE0A4B"/>
    <w:rsid w:val="00DE22B6"/>
    <w:rsid w:val="00DE2410"/>
    <w:rsid w:val="00DE2939"/>
    <w:rsid w:val="00DE2E3B"/>
    <w:rsid w:val="00DE6E81"/>
    <w:rsid w:val="00DE703F"/>
    <w:rsid w:val="00DE7595"/>
    <w:rsid w:val="00DF1961"/>
    <w:rsid w:val="00DF44DE"/>
    <w:rsid w:val="00DF6A1E"/>
    <w:rsid w:val="00E01138"/>
    <w:rsid w:val="00E02DFB"/>
    <w:rsid w:val="00E030F9"/>
    <w:rsid w:val="00E0311A"/>
    <w:rsid w:val="00E03138"/>
    <w:rsid w:val="00E06404"/>
    <w:rsid w:val="00E11A85"/>
    <w:rsid w:val="00E12495"/>
    <w:rsid w:val="00E12BC7"/>
    <w:rsid w:val="00E15CCD"/>
    <w:rsid w:val="00E202EF"/>
    <w:rsid w:val="00E210B5"/>
    <w:rsid w:val="00E23D99"/>
    <w:rsid w:val="00E24090"/>
    <w:rsid w:val="00E2552F"/>
    <w:rsid w:val="00E30FAB"/>
    <w:rsid w:val="00E3137A"/>
    <w:rsid w:val="00E32CCF"/>
    <w:rsid w:val="00E34A98"/>
    <w:rsid w:val="00E34BF9"/>
    <w:rsid w:val="00E34EDB"/>
    <w:rsid w:val="00E35D1E"/>
    <w:rsid w:val="00E364F9"/>
    <w:rsid w:val="00E365FA"/>
    <w:rsid w:val="00E36789"/>
    <w:rsid w:val="00E44A83"/>
    <w:rsid w:val="00E502C1"/>
    <w:rsid w:val="00E502DD"/>
    <w:rsid w:val="00E5035C"/>
    <w:rsid w:val="00E50D3A"/>
    <w:rsid w:val="00E51387"/>
    <w:rsid w:val="00E51E68"/>
    <w:rsid w:val="00E52EFD"/>
    <w:rsid w:val="00E5408A"/>
    <w:rsid w:val="00E54BC7"/>
    <w:rsid w:val="00E56800"/>
    <w:rsid w:val="00E60C63"/>
    <w:rsid w:val="00E62FF9"/>
    <w:rsid w:val="00E635D6"/>
    <w:rsid w:val="00E639BC"/>
    <w:rsid w:val="00E664CC"/>
    <w:rsid w:val="00E70388"/>
    <w:rsid w:val="00E70F92"/>
    <w:rsid w:val="00E74C54"/>
    <w:rsid w:val="00E77A03"/>
    <w:rsid w:val="00E77AEA"/>
    <w:rsid w:val="00E821ED"/>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667"/>
    <w:rsid w:val="00EA58D1"/>
    <w:rsid w:val="00EA61BC"/>
    <w:rsid w:val="00EA681A"/>
    <w:rsid w:val="00EA735B"/>
    <w:rsid w:val="00EB1E69"/>
    <w:rsid w:val="00EB2086"/>
    <w:rsid w:val="00EB5EDF"/>
    <w:rsid w:val="00EB60FE"/>
    <w:rsid w:val="00EB74DB"/>
    <w:rsid w:val="00EC5359"/>
    <w:rsid w:val="00EC562A"/>
    <w:rsid w:val="00ED067A"/>
    <w:rsid w:val="00ED0DBA"/>
    <w:rsid w:val="00ED2B50"/>
    <w:rsid w:val="00EE0350"/>
    <w:rsid w:val="00EE0719"/>
    <w:rsid w:val="00EE0E80"/>
    <w:rsid w:val="00EE613F"/>
    <w:rsid w:val="00EE7295"/>
    <w:rsid w:val="00EE7869"/>
    <w:rsid w:val="00EF054A"/>
    <w:rsid w:val="00EF3235"/>
    <w:rsid w:val="00EF7E72"/>
    <w:rsid w:val="00F03712"/>
    <w:rsid w:val="00F06D37"/>
    <w:rsid w:val="00F07B9D"/>
    <w:rsid w:val="00F11586"/>
    <w:rsid w:val="00F1183B"/>
    <w:rsid w:val="00F11C9F"/>
    <w:rsid w:val="00F12263"/>
    <w:rsid w:val="00F1409D"/>
    <w:rsid w:val="00F14214"/>
    <w:rsid w:val="00F157A9"/>
    <w:rsid w:val="00F200BE"/>
    <w:rsid w:val="00F25BB6"/>
    <w:rsid w:val="00F26B7E"/>
    <w:rsid w:val="00F27A3B"/>
    <w:rsid w:val="00F33817"/>
    <w:rsid w:val="00F367E1"/>
    <w:rsid w:val="00F420D5"/>
    <w:rsid w:val="00F451EA"/>
    <w:rsid w:val="00F45447"/>
    <w:rsid w:val="00F456C6"/>
    <w:rsid w:val="00F4577B"/>
    <w:rsid w:val="00F46496"/>
    <w:rsid w:val="00F474D0"/>
    <w:rsid w:val="00F50179"/>
    <w:rsid w:val="00F50DD2"/>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0E8C"/>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615"/>
    <w:rsid w:val="00FF3E7D"/>
    <w:rsid w:val="00FF5B99"/>
    <w:rsid w:val="00FF730C"/>
    <w:rsid w:val="00FF73F4"/>
    <w:rsid w:val="00FF7CE4"/>
    <w:rsid w:val="00FF7E39"/>
    <w:rsid w:val="05A11EBF"/>
    <w:rsid w:val="09BE76C0"/>
    <w:rsid w:val="0A287085"/>
    <w:rsid w:val="0A5C59B6"/>
    <w:rsid w:val="0EF146B3"/>
    <w:rsid w:val="11857D63"/>
    <w:rsid w:val="14A1563B"/>
    <w:rsid w:val="1A1E542C"/>
    <w:rsid w:val="1ACF3FD5"/>
    <w:rsid w:val="1BED57D4"/>
    <w:rsid w:val="236669F3"/>
    <w:rsid w:val="24293EFD"/>
    <w:rsid w:val="261C5DD0"/>
    <w:rsid w:val="265D1A6F"/>
    <w:rsid w:val="2720425E"/>
    <w:rsid w:val="28916EF9"/>
    <w:rsid w:val="2B6C56F3"/>
    <w:rsid w:val="2CF26B21"/>
    <w:rsid w:val="2F4A4973"/>
    <w:rsid w:val="33FA0ECA"/>
    <w:rsid w:val="34DB5329"/>
    <w:rsid w:val="36E0346F"/>
    <w:rsid w:val="3A4E3059"/>
    <w:rsid w:val="3A8E2D24"/>
    <w:rsid w:val="3C5E67BC"/>
    <w:rsid w:val="3C7651BF"/>
    <w:rsid w:val="3CDA494F"/>
    <w:rsid w:val="3D326537"/>
    <w:rsid w:val="3DD0408A"/>
    <w:rsid w:val="3F316DAB"/>
    <w:rsid w:val="3F5B644E"/>
    <w:rsid w:val="406E2162"/>
    <w:rsid w:val="425D16BD"/>
    <w:rsid w:val="46755A4D"/>
    <w:rsid w:val="498F5989"/>
    <w:rsid w:val="4E6B3313"/>
    <w:rsid w:val="51266611"/>
    <w:rsid w:val="51807770"/>
    <w:rsid w:val="52BE64C6"/>
    <w:rsid w:val="535F272C"/>
    <w:rsid w:val="580A709A"/>
    <w:rsid w:val="588246EC"/>
    <w:rsid w:val="5AB0412C"/>
    <w:rsid w:val="5C464337"/>
    <w:rsid w:val="5E6F3126"/>
    <w:rsid w:val="6510097E"/>
    <w:rsid w:val="6EF015E7"/>
    <w:rsid w:val="704279A8"/>
    <w:rsid w:val="75926D88"/>
    <w:rsid w:val="77491046"/>
    <w:rsid w:val="7A2F6A0C"/>
    <w:rsid w:val="7A322091"/>
    <w:rsid w:val="7B2475EA"/>
    <w:rsid w:val="7BB32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4"/>
    <w:semiHidden/>
    <w:unhideWhenUsed/>
    <w:qFormat/>
    <w:uiPriority w:val="99"/>
    <w:pPr>
      <w:adjustRightInd/>
      <w:spacing w:line="240" w:lineRule="auto"/>
      <w:jc w:val="left"/>
    </w:pPr>
    <w:rPr>
      <w:rFonts w:asciiTheme="minorHAnsi" w:hAnsiTheme="minorHAnsi" w:eastAsiaTheme="minorEastAsia" w:cstheme="minorBidi"/>
      <w:szCs w:val="22"/>
    </w:rPr>
  </w:style>
  <w:style w:type="paragraph" w:styleId="14">
    <w:name w:val="Body Text"/>
    <w:basedOn w:val="1"/>
    <w:link w:val="88"/>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0"/>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annotation reference"/>
    <w:unhideWhenUsed/>
    <w:qFormat/>
    <w:uiPriority w:val="99"/>
    <w:rPr>
      <w:sz w:val="21"/>
      <w:szCs w:val="21"/>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2"/>
    <w:qFormat/>
    <w:uiPriority w:val="0"/>
    <w:rPr>
      <w:rFonts w:ascii="Times New Roman" w:hAnsi="Times New Roman" w:eastAsia="宋体" w:cs="Times New Roman"/>
      <w:b/>
      <w:bCs/>
      <w:kern w:val="44"/>
      <w:sz w:val="44"/>
      <w:szCs w:val="44"/>
    </w:rPr>
  </w:style>
  <w:style w:type="character" w:customStyle="1" w:styleId="37">
    <w:name w:val="标题 2 字符"/>
    <w:link w:val="3"/>
    <w:qFormat/>
    <w:uiPriority w:val="0"/>
    <w:rPr>
      <w:rFonts w:ascii="Arial" w:hAnsi="Arial" w:eastAsia="黑体" w:cs="Times New Roman"/>
      <w:b/>
      <w:bCs/>
      <w:sz w:val="32"/>
      <w:szCs w:val="32"/>
    </w:rPr>
  </w:style>
  <w:style w:type="character" w:customStyle="1" w:styleId="38">
    <w:name w:val="标题 3 字符"/>
    <w:link w:val="4"/>
    <w:qFormat/>
    <w:uiPriority w:val="0"/>
    <w:rPr>
      <w:rFonts w:ascii="Times New Roman" w:hAnsi="Times New Roman" w:eastAsia="宋体" w:cs="Times New Roman"/>
      <w:b/>
      <w:bCs/>
      <w:sz w:val="32"/>
      <w:szCs w:val="32"/>
    </w:rPr>
  </w:style>
  <w:style w:type="character" w:customStyle="1" w:styleId="39">
    <w:name w:val="标题 4 字符"/>
    <w:link w:val="5"/>
    <w:qFormat/>
    <w:uiPriority w:val="0"/>
    <w:rPr>
      <w:rFonts w:ascii="Arial" w:hAnsi="Arial" w:eastAsia="黑体" w:cs="Times New Roman"/>
      <w:b/>
      <w:bCs/>
      <w:sz w:val="28"/>
      <w:szCs w:val="28"/>
    </w:rPr>
  </w:style>
  <w:style w:type="character" w:customStyle="1" w:styleId="40">
    <w:name w:val="标题 5 字符"/>
    <w:link w:val="6"/>
    <w:qFormat/>
    <w:uiPriority w:val="0"/>
    <w:rPr>
      <w:rFonts w:ascii="Times New Roman" w:hAnsi="Times New Roman" w:eastAsia="宋体" w:cs="Times New Roman"/>
      <w:b/>
      <w:bCs/>
      <w:sz w:val="28"/>
      <w:szCs w:val="28"/>
    </w:rPr>
  </w:style>
  <w:style w:type="character" w:customStyle="1" w:styleId="41">
    <w:name w:val="标题 6 字符"/>
    <w:link w:val="7"/>
    <w:qFormat/>
    <w:uiPriority w:val="0"/>
    <w:rPr>
      <w:rFonts w:ascii="Arial" w:hAnsi="Arial" w:eastAsia="黑体" w:cs="Times New Roman"/>
      <w:b/>
      <w:bCs/>
      <w:sz w:val="24"/>
      <w:szCs w:val="24"/>
    </w:rPr>
  </w:style>
  <w:style w:type="character" w:customStyle="1" w:styleId="42">
    <w:name w:val="标题 7 字符"/>
    <w:link w:val="8"/>
    <w:qFormat/>
    <w:uiPriority w:val="0"/>
    <w:rPr>
      <w:rFonts w:ascii="Times New Roman" w:hAnsi="Times New Roman" w:eastAsia="宋体" w:cs="Times New Roman"/>
      <w:b/>
      <w:bCs/>
      <w:sz w:val="24"/>
      <w:szCs w:val="24"/>
    </w:rPr>
  </w:style>
  <w:style w:type="character" w:customStyle="1" w:styleId="43">
    <w:name w:val="标题 8 字符"/>
    <w:link w:val="9"/>
    <w:qFormat/>
    <w:uiPriority w:val="0"/>
    <w:rPr>
      <w:rFonts w:ascii="Arial" w:hAnsi="Arial" w:eastAsia="黑体" w:cs="Times New Roman"/>
      <w:sz w:val="24"/>
      <w:szCs w:val="24"/>
    </w:rPr>
  </w:style>
  <w:style w:type="character" w:customStyle="1" w:styleId="44">
    <w:name w:val="标题 9 字符"/>
    <w:link w:val="10"/>
    <w:qFormat/>
    <w:uiPriority w:val="0"/>
    <w:rPr>
      <w:rFonts w:ascii="Arial" w:hAnsi="Arial" w:eastAsia="黑体" w:cs="Times New Roman"/>
      <w:szCs w:val="21"/>
    </w:rPr>
  </w:style>
  <w:style w:type="character" w:customStyle="1" w:styleId="45">
    <w:name w:val="页眉 字符"/>
    <w:link w:val="19"/>
    <w:qFormat/>
    <w:uiPriority w:val="99"/>
    <w:rPr>
      <w:rFonts w:ascii="Times New Roman" w:hAnsi="Times New Roman" w:eastAsia="宋体" w:cs="Times New Roman"/>
      <w:sz w:val="18"/>
      <w:szCs w:val="18"/>
    </w:rPr>
  </w:style>
  <w:style w:type="character" w:customStyle="1" w:styleId="46">
    <w:name w:val="页脚 字符"/>
    <w:link w:val="18"/>
    <w:qFormat/>
    <w:uiPriority w:val="99"/>
    <w:rPr>
      <w:rFonts w:ascii="宋体" w:hAnsi="Times New Roman" w:eastAsia="宋体" w:cs="Times New Roman"/>
      <w:sz w:val="18"/>
      <w:szCs w:val="18"/>
    </w:rPr>
  </w:style>
  <w:style w:type="character" w:customStyle="1" w:styleId="47">
    <w:name w:val="批注框文本 字符"/>
    <w:link w:val="17"/>
    <w:semiHidden/>
    <w:qFormat/>
    <w:uiPriority w:val="99"/>
    <w:rPr>
      <w:sz w:val="18"/>
      <w:szCs w:val="18"/>
    </w:rPr>
  </w:style>
  <w:style w:type="paragraph" w:styleId="48">
    <w:name w:val="Quote"/>
    <w:basedOn w:val="1"/>
    <w:next w:val="1"/>
    <w:link w:val="49"/>
    <w:qFormat/>
    <w:uiPriority w:val="29"/>
    <w:rPr>
      <w:i/>
      <w:iCs/>
      <w:color w:val="000000"/>
    </w:rPr>
  </w:style>
  <w:style w:type="character" w:customStyle="1" w:styleId="49">
    <w:name w:val="引用 字符"/>
    <w:link w:val="48"/>
    <w:qFormat/>
    <w:uiPriority w:val="29"/>
    <w:rPr>
      <w:i/>
      <w:iCs/>
      <w:color w:val="000000"/>
    </w:rPr>
  </w:style>
  <w:style w:type="character" w:customStyle="1" w:styleId="50">
    <w:name w:val="标题 字符"/>
    <w:link w:val="26"/>
    <w:qFormat/>
    <w:uiPriority w:val="0"/>
    <w:rPr>
      <w:rFonts w:ascii="Arial" w:hAnsi="Arial" w:eastAsia="宋体" w:cs="Arial"/>
      <w:b/>
      <w:bCs/>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4"/>
    <w:qFormat/>
    <w:uiPriority w:val="0"/>
    <w:rPr>
      <w:rFonts w:ascii="Times New Roman" w:hAnsi="Times New Roman" w:eastAsia="宋体" w:cs="Times New Roman"/>
      <w:szCs w:val="20"/>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pPr>
  </w:style>
  <w:style w:type="paragraph" w:customStyle="1" w:styleId="93">
    <w:name w:val="标准文件_目录标题"/>
    <w:basedOn w:val="1"/>
    <w:qFormat/>
    <w:uiPriority w:val="0"/>
    <w:pPr>
      <w:spacing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ind w:left="0" w:firstLine="200"/>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2"/>
    <w:semiHidden/>
    <w:qFormat/>
    <w:uiPriority w:val="0"/>
    <w:rPr>
      <w:rFonts w:ascii="宋体" w:hAnsi="Times New Roman" w:eastAsia="宋体" w:cs="Times New Roman"/>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semiHidden/>
    <w:qFormat/>
    <w:uiPriority w:val="0"/>
    <w:pPr>
      <w:adjustRightInd/>
      <w:spacing w:line="240" w:lineRule="auto"/>
      <w:jc w:val="left"/>
    </w:pPr>
    <w:rPr>
      <w:bCs/>
      <w:iCs/>
    </w:rPr>
  </w:style>
  <w:style w:type="paragraph" w:customStyle="1" w:styleId="145">
    <w:name w:val="目录 31"/>
    <w:basedOn w:val="1"/>
    <w:next w:val="1"/>
    <w:semiHidden/>
    <w:qFormat/>
    <w:uiPriority w:val="0"/>
    <w:pPr>
      <w:spacing w:line="240" w:lineRule="auto"/>
    </w:pPr>
    <w:rPr>
      <w:rFonts w:ascii="宋体" w:hAnsi="宋体"/>
      <w:iCs/>
    </w:rPr>
  </w:style>
  <w:style w:type="paragraph" w:customStyle="1" w:styleId="146">
    <w:name w:val="目录 41"/>
    <w:basedOn w:val="1"/>
    <w:next w:val="1"/>
    <w:semiHidden/>
    <w:qFormat/>
    <w:uiPriority w:val="0"/>
    <w:pPr>
      <w:adjustRightInd/>
      <w:spacing w:line="240" w:lineRule="auto"/>
      <w:jc w:val="left"/>
    </w:pPr>
  </w:style>
  <w:style w:type="paragraph" w:customStyle="1" w:styleId="147">
    <w:name w:val="目录 51"/>
    <w:basedOn w:val="1"/>
    <w:next w:val="1"/>
    <w:semiHidden/>
    <w:qFormat/>
    <w:uiPriority w:val="0"/>
    <w:pPr>
      <w:spacing w:line="240" w:lineRule="auto"/>
    </w:pPr>
    <w:rPr>
      <w:rFonts w:ascii="宋体" w:hAnsi="宋体"/>
    </w:rPr>
  </w:style>
  <w:style w:type="paragraph" w:customStyle="1" w:styleId="148">
    <w:name w:val="目录 61"/>
    <w:basedOn w:val="1"/>
    <w:next w:val="1"/>
    <w:semiHidden/>
    <w:qFormat/>
    <w:uiPriority w:val="0"/>
    <w:pPr>
      <w:adjustRightInd/>
      <w:spacing w:line="240" w:lineRule="auto"/>
      <w:jc w:val="left"/>
    </w:pPr>
  </w:style>
  <w:style w:type="paragraph" w:customStyle="1" w:styleId="149">
    <w:name w:val="目录 71"/>
    <w:basedOn w:val="148"/>
    <w:semiHidden/>
    <w:qFormat/>
    <w:uiPriority w:val="0"/>
    <w:pPr>
      <w:ind w:left="1260"/>
    </w:pPr>
  </w:style>
  <w:style w:type="paragraph" w:customStyle="1" w:styleId="150">
    <w:name w:val="目录 81"/>
    <w:basedOn w:val="149"/>
    <w:semiHidden/>
    <w:qFormat/>
    <w:uiPriority w:val="0"/>
    <w:pPr>
      <w:ind w:left="1470"/>
    </w:pPr>
  </w:style>
  <w:style w:type="paragraph" w:customStyle="1" w:styleId="151">
    <w:name w:val="目录 91"/>
    <w:basedOn w:val="150"/>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ind w:left="783"/>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29"/>
    <w:semiHidden/>
    <w:qFormat/>
    <w:uiPriority w:val="99"/>
    <w:rPr>
      <w:color w:val="808080"/>
    </w:rPr>
  </w:style>
  <w:style w:type="paragraph" w:customStyle="1" w:styleId="189">
    <w:name w:val="标准文件_二级项2"/>
    <w:basedOn w:val="58"/>
    <w:qFormat/>
    <w:uiPriority w:val="0"/>
    <w:pPr>
      <w:numPr>
        <w:ilvl w:val="1"/>
        <w:numId w:val="21"/>
      </w:numPr>
      <w:ind w:left="1271" w:hanging="420" w:firstLineChars="0"/>
    </w:pPr>
  </w:style>
  <w:style w:type="paragraph" w:customStyle="1" w:styleId="190">
    <w:name w:val="标准文件_三级项2"/>
    <w:basedOn w:val="58"/>
    <w:qFormat/>
    <w:uiPriority w:val="0"/>
    <w:pPr>
      <w:numPr>
        <w:ilvl w:val="0"/>
        <w:numId w:val="30"/>
      </w:numPr>
      <w:spacing w:line="300" w:lineRule="exact"/>
      <w:ind w:left="1276" w:hanging="425" w:firstLineChars="0"/>
    </w:pPr>
    <w:rPr>
      <w:rFonts w:ascii="Times New Roman"/>
    </w:rPr>
  </w:style>
  <w:style w:type="paragraph" w:customStyle="1" w:styleId="191">
    <w:name w:val="标准文件_一级项2"/>
    <w:basedOn w:val="58"/>
    <w:qFormat/>
    <w:uiPriority w:val="0"/>
    <w:pPr>
      <w:numPr>
        <w:ilvl w:val="0"/>
        <w:numId w:val="31"/>
      </w:numPr>
      <w:spacing w:line="300" w:lineRule="exact"/>
      <w:ind w:left="1271" w:hanging="420"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29"/>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next w:val="58"/>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29"/>
    <w:qFormat/>
    <w:uiPriority w:val="0"/>
    <w:rPr>
      <w:rFonts w:ascii="黑体" w:eastAsia="黑体"/>
      <w:spacing w:val="85"/>
      <w:w w:val="100"/>
      <w:position w:val="3"/>
      <w:sz w:val="28"/>
      <w:szCs w:val="28"/>
    </w:rPr>
  </w:style>
  <w:style w:type="character" w:customStyle="1" w:styleId="232">
    <w:name w:val="段 Char"/>
    <w:link w:val="233"/>
    <w:qFormat/>
    <w:uiPriority w:val="0"/>
    <w:rPr>
      <w:rFonts w:ascii="宋体"/>
    </w:rPr>
  </w:style>
  <w:style w:type="paragraph" w:customStyle="1" w:styleId="233">
    <w:name w:val="段"/>
    <w:link w:val="232"/>
    <w:qFormat/>
    <w:uiPriority w:val="0"/>
    <w:pPr>
      <w:tabs>
        <w:tab w:val="center" w:pos="4201"/>
        <w:tab w:val="right" w:leader="dot" w:pos="9298"/>
      </w:tabs>
      <w:autoSpaceDE w:val="0"/>
      <w:autoSpaceDN w:val="0"/>
      <w:ind w:firstLine="420" w:firstLineChars="200"/>
      <w:jc w:val="both"/>
    </w:pPr>
    <w:rPr>
      <w:rFonts w:ascii="宋体" w:hAnsi="Calibri" w:eastAsia="宋体" w:cs="Times New Roman"/>
      <w:lang w:val="en-US" w:eastAsia="zh-CN" w:bidi="ar-SA"/>
    </w:rPr>
  </w:style>
  <w:style w:type="character" w:customStyle="1" w:styleId="234">
    <w:name w:val="批注文字 字符"/>
    <w:basedOn w:val="29"/>
    <w:link w:val="13"/>
    <w:semiHidden/>
    <w:qFormat/>
    <w:uiPriority w:val="99"/>
    <w:rPr>
      <w:rFonts w:asciiTheme="minorHAnsi" w:hAnsiTheme="minorHAnsi" w:eastAsiaTheme="minorEastAsia" w:cstheme="minorBidi"/>
      <w:kern w:val="2"/>
      <w:sz w:val="21"/>
      <w:szCs w:val="22"/>
    </w:rPr>
  </w:style>
  <w:style w:type="paragraph" w:customStyle="1" w:styleId="235">
    <w:name w:val="一级条标题"/>
    <w:next w:val="233"/>
    <w:qFormat/>
    <w:uiPriority w:val="0"/>
    <w:pPr>
      <w:tabs>
        <w:tab w:val="left" w:pos="360"/>
      </w:tabs>
      <w:spacing w:beforeLines="50" w:afterLines="50"/>
      <w:outlineLvl w:val="2"/>
    </w:pPr>
    <w:rPr>
      <w:rFonts w:ascii="黑体" w:hAnsi="Times New Roman" w:eastAsia="黑体" w:cs="Times New Roman"/>
      <w:sz w:val="21"/>
      <w:szCs w:val="21"/>
      <w:lang w:val="en-US" w:eastAsia="zh-CN" w:bidi="ar-SA"/>
    </w:rPr>
  </w:style>
  <w:style w:type="paragraph" w:customStyle="1" w:styleId="236">
    <w:name w:val="二级条标题"/>
    <w:basedOn w:val="235"/>
    <w:next w:val="233"/>
    <w:link w:val="237"/>
    <w:qFormat/>
    <w:uiPriority w:val="0"/>
    <w:pPr>
      <w:tabs>
        <w:tab w:val="clear" w:pos="360"/>
      </w:tabs>
      <w:spacing w:before="50" w:after="50"/>
      <w:outlineLvl w:val="3"/>
    </w:pPr>
  </w:style>
  <w:style w:type="character" w:customStyle="1" w:styleId="237">
    <w:name w:val="二级条标题 字符"/>
    <w:basedOn w:val="29"/>
    <w:link w:val="236"/>
    <w:qFormat/>
    <w:uiPriority w:val="0"/>
    <w:rPr>
      <w:rFonts w:ascii="黑体" w:hAnsi="Times New Roman" w:eastAsia="黑体"/>
      <w:sz w:val="21"/>
      <w:szCs w:val="21"/>
    </w:rPr>
  </w:style>
  <w:style w:type="paragraph" w:customStyle="1" w:styleId="238">
    <w:name w:val="章标题"/>
    <w:next w:val="233"/>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9">
    <w:name w:val="修订1"/>
    <w:hidden/>
    <w:semiHidden/>
    <w:qFormat/>
    <w:uiPriority w:val="99"/>
    <w:rPr>
      <w:rFonts w:ascii="Calibri" w:hAnsi="Calibri" w:eastAsia="宋体" w:cs="Times New Roman"/>
      <w:kern w:val="2"/>
      <w:sz w:val="21"/>
      <w:szCs w:val="21"/>
      <w:lang w:val="en-US" w:eastAsia="zh-CN" w:bidi="ar-SA"/>
    </w:rPr>
  </w:style>
  <w:style w:type="paragraph" w:customStyle="1" w:styleId="240">
    <w:name w:val="Revision"/>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98CD3F26BC842F8850B31AC9414B04B"/>
        <w:style w:val=""/>
        <w:category>
          <w:name w:val="常规"/>
          <w:gallery w:val="placeholder"/>
        </w:category>
        <w:types>
          <w:type w:val="bbPlcHdr"/>
        </w:types>
        <w:behaviors>
          <w:behavior w:val="content"/>
        </w:behaviors>
        <w:description w:val=""/>
        <w:guid w:val="{299541A5-7B81-415C-A643-5E1A1F38E06E}"/>
      </w:docPartPr>
      <w:docPartBody>
        <w:p>
          <w:pPr>
            <w:pStyle w:val="5"/>
          </w:pPr>
          <w:r>
            <w:rPr>
              <w:rStyle w:val="4"/>
              <w:rFonts w:hint="eastAsia"/>
            </w:rPr>
            <w:t>单击或点击此处输入文字。</w:t>
          </w:r>
        </w:p>
      </w:docPartBody>
    </w:docPart>
    <w:docPart>
      <w:docPartPr>
        <w:name w:val="975F6A3F11C648DE9C98BBA861DD28F3"/>
        <w:style w:val=""/>
        <w:category>
          <w:name w:val="常规"/>
          <w:gallery w:val="placeholder"/>
        </w:category>
        <w:types>
          <w:type w:val="bbPlcHdr"/>
        </w:types>
        <w:behaviors>
          <w:behavior w:val="content"/>
        </w:behaviors>
        <w:description w:val=""/>
        <w:guid w:val="{72A5BD10-81BB-4947-B685-D7E8AA78E61B}"/>
      </w:docPartPr>
      <w:docPartBody>
        <w:p>
          <w:pPr>
            <w:pStyle w:val="6"/>
          </w:pPr>
          <w:r>
            <w:rPr>
              <w:rStyle w:val="4"/>
              <w:rFonts w:hint="eastAsia"/>
            </w:rPr>
            <w:t>选择一项。</w:t>
          </w:r>
        </w:p>
      </w:docPartBody>
    </w:docPart>
    <w:docPart>
      <w:docPartPr>
        <w:name w:val="1FCC92E53FAC41EEA07C61C542F5818C"/>
        <w:style w:val=""/>
        <w:category>
          <w:name w:val="常规"/>
          <w:gallery w:val="placeholder"/>
        </w:category>
        <w:types>
          <w:type w:val="bbPlcHdr"/>
        </w:types>
        <w:behaviors>
          <w:behavior w:val="content"/>
        </w:behaviors>
        <w:description w:val=""/>
        <w:guid w:val="{8C1A03C2-AA91-4FCB-95BC-B37202E919A0}"/>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0A6"/>
    <w:rsid w:val="00034B8B"/>
    <w:rsid w:val="00372080"/>
    <w:rsid w:val="005126CC"/>
    <w:rsid w:val="00895BF1"/>
    <w:rsid w:val="00921AFA"/>
    <w:rsid w:val="00A530A6"/>
    <w:rsid w:val="00BB2B2A"/>
    <w:rsid w:val="00C4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B98CD3F26BC842F8850B31AC9414B0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975F6A3F11C648DE9C98BBA861DD28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FCC92E53FAC41EEA07C61C542F5818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0687E9-D62D-43BC-952A-932244BA5C98}">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8</Pages>
  <Words>3073</Words>
  <Characters>3698</Characters>
  <Lines>30</Lines>
  <Paragraphs>8</Paragraphs>
  <TotalTime>1</TotalTime>
  <ScaleCrop>false</ScaleCrop>
  <LinksUpToDate>false</LinksUpToDate>
  <CharactersWithSpaces>3864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2022-09-29T11:11:00Z</dcterms:created>
  <dc:creator>THTF</dc:creator>
  <dc:description>&lt;config cover="true" show_menu="true" version="1.0.0" doctype="SDKXY"&gt;_x000d_
&lt;/config&gt;</dc:description>
  <cp:lastModifiedBy>岑剑伟</cp:lastModifiedBy>
  <cp:lastPrinted>2022-09-29T01:44:00Z</cp:lastPrinted>
  <dcterms:modified xsi:type="dcterms:W3CDTF">2022-09-30T02:30:12Z</dcterms:modified>
  <dc:title>地方标准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2052-11.1.0.12598</vt:lpwstr>
  </property>
  <property fmtid="{D5CDD505-2E9C-101B-9397-08002B2CF9AE}" pid="15" name="ICV">
    <vt:lpwstr>0C7AE94A7C1C4FE1A3F6C5B331DA4121</vt:lpwstr>
  </property>
</Properties>
</file>